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2762">
      <w:pPr>
        <w:spacing w:before="156" w:beforeLines="50" w:line="360" w:lineRule="auto"/>
        <w:jc w:val="center"/>
        <w:outlineLvl w:val="1"/>
        <w:rPr>
          <w:rFonts w:ascii="Times New Roman" w:hAnsi="Times New Roman"/>
          <w:b/>
          <w:sz w:val="24"/>
        </w:rPr>
      </w:pPr>
      <w:bookmarkStart w:id="0" w:name="_Toc47434389"/>
      <w:r>
        <w:rPr>
          <w:rFonts w:hint="eastAsia" w:ascii="Times New Roman" w:hAnsi="Times New Roman"/>
          <w:b/>
          <w:sz w:val="24"/>
          <w:lang w:val="en-US" w:eastAsia="zh-CN" w:bidi="ar"/>
        </w:rPr>
        <w:t>附</w:t>
      </w:r>
      <w:bookmarkStart w:id="1" w:name="_GoBack"/>
      <w:bookmarkEnd w:id="1"/>
      <w:r>
        <w:rPr>
          <w:rFonts w:hint="eastAsia" w:ascii="Times New Roman" w:hAnsi="Times New Roman"/>
          <w:b/>
          <w:sz w:val="24"/>
          <w:lang w:val="en-US" w:eastAsia="zh-CN" w:bidi="ar"/>
        </w:rPr>
        <w:t>件一、</w:t>
      </w:r>
      <w:r>
        <w:rPr>
          <w:rFonts w:ascii="Times New Roman" w:hAnsi="Times New Roman"/>
          <w:b/>
          <w:sz w:val="24"/>
          <w:lang w:bidi="ar"/>
        </w:rPr>
        <w:t xml:space="preserve">  </w:t>
      </w:r>
      <w:r>
        <w:rPr>
          <w:rFonts w:hint="eastAsia" w:ascii="宋体" w:hAnsi="宋体" w:cs="宋体"/>
          <w:b/>
          <w:sz w:val="24"/>
          <w:lang w:bidi="ar"/>
        </w:rPr>
        <w:t>运营维护考核内容</w:t>
      </w:r>
      <w:bookmarkEnd w:id="0"/>
      <w:r>
        <w:rPr>
          <w:rFonts w:hint="eastAsia" w:ascii="宋体" w:hAnsi="宋体" w:cs="宋体"/>
          <w:b/>
          <w:sz w:val="24"/>
          <w:lang w:bidi="ar"/>
        </w:rPr>
        <w:t>及考核指标</w:t>
      </w:r>
    </w:p>
    <w:tbl>
      <w:tblPr>
        <w:tblStyle w:val="3"/>
        <w:tblW w:w="9580" w:type="dxa"/>
        <w:jc w:val="center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319"/>
        <w:gridCol w:w="1984"/>
      </w:tblGrid>
      <w:tr w14:paraId="5903E37A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96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75F356DB">
            <w:pPr>
              <w:autoSpaceDE w:val="0"/>
              <w:autoSpaceDN w:val="0"/>
              <w:adjustRightInd w:val="0"/>
              <w:ind w:left="48" w:firstLine="482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一、运营维护考核（</w:t>
            </w:r>
            <w:r>
              <w:rPr>
                <w:rFonts w:ascii="Times New Roman" w:hAnsi="Times New Roman" w:eastAsia="仿宋"/>
                <w:b/>
                <w:sz w:val="24"/>
                <w:lang w:bidi="ar"/>
              </w:rPr>
              <w:t>50</w:t>
            </w: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分）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nil"/>
            </w:tcBorders>
            <w:noWrap w:val="0"/>
            <w:vAlign w:val="center"/>
          </w:tcPr>
          <w:p w14:paraId="7A42B6E6">
            <w:pPr>
              <w:autoSpaceDE w:val="0"/>
              <w:autoSpaceDN w:val="0"/>
              <w:adjustRightInd w:val="0"/>
              <w:ind w:left="48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考核方式</w:t>
            </w:r>
          </w:p>
        </w:tc>
      </w:tr>
      <w:tr w14:paraId="3543CCA6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77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6D3FE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安全生产和文明施工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93F1F62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按照项目监管机构要求统一购置安全标示、装置，设置安全围护。定期对维护人员进行安全培训，做好安全台账。不按规定的每次扣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分。未设置安全维护造成人员伤亡或财产损失的应承担相应责任，并扣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6CCDCFE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抽查</w:t>
            </w:r>
          </w:p>
        </w:tc>
      </w:tr>
      <w:tr w14:paraId="31B43BB1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19482E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81BF6E2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排水管道维护人员维护作业时，未按要求进行管道通风、下井作业人员未按要求佩戴安全防护装备、现场交通栏护设施摆放不到位等相关情况，每发现一次扣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6375126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抽查</w:t>
            </w:r>
          </w:p>
        </w:tc>
      </w:tr>
      <w:tr w14:paraId="6EFABA12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080A88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54277DB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未按合同约定按期对管道进行应急事故检查，每次扣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393DC79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抽查</w:t>
            </w:r>
          </w:p>
        </w:tc>
      </w:tr>
      <w:tr w14:paraId="504EF21F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C31AA2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5F1C17C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hint="default" w:ascii="Times New Roman" w:hAnsi="Times New Roman" w:eastAsia="仿宋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 w:bidi="ar"/>
              </w:rPr>
              <w:t>4.未按照合同约定对厂区内建筑物、构筑物、道路、绿化进行及时维护的，每发现一次扣1分。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6F156CF6">
            <w:pPr>
              <w:autoSpaceDE w:val="0"/>
              <w:autoSpaceDN w:val="0"/>
              <w:adjustRightInd w:val="0"/>
              <w:spacing w:line="288" w:lineRule="auto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抽查</w:t>
            </w:r>
          </w:p>
        </w:tc>
      </w:tr>
      <w:tr w14:paraId="22B98573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BDA9E6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8070103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维护队员按规定着装、文明作业，不得同用户争吵。不按规定着装每人次扣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分；不文明作业每次扣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64C455F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抽查</w:t>
            </w:r>
          </w:p>
        </w:tc>
      </w:tr>
      <w:tr w14:paraId="76D2006A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69B2F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污水处理厂养护质量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39EDF26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污水处理厂电气、仪表完好率未达到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98%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以上的，每次扣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分；污水处理厂的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污水处理设备、污水处理设施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、电气设备、仪表等设施未进行维护的，每发现一处扣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分；相关设施设备出现故障在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个工作日内未开始维修的，每发现一次扣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60E6387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季度考核、抽查</w:t>
            </w:r>
          </w:p>
        </w:tc>
      </w:tr>
      <w:tr w14:paraId="57B77370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156591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966CBC0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未按要求配备并定点放置相关消防器材、未按规定对污水处理设备、电气安全用具等进行定期检测的、运营资料及维修记录不完善的，每次扣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3A597CA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季度考核、抽查</w:t>
            </w:r>
          </w:p>
        </w:tc>
      </w:tr>
      <w:tr w14:paraId="6C89145E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96D2A3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D3A2493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相关设施设备检查维护作业时，人员未按要求佩戴安全防护装备，发现一次扣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456711A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季度考核、抽查</w:t>
            </w:r>
          </w:p>
        </w:tc>
      </w:tr>
      <w:tr w14:paraId="24F7CF83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1C4B32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539F78C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相关设施设备未进行年检，或检测为不合格后继续使用的，发现一次扣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1284C86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季度考核、抽查</w:t>
            </w:r>
          </w:p>
        </w:tc>
      </w:tr>
      <w:tr w14:paraId="7B2BD22E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62D609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72E3B83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未定期对设施、机电设备和配件外表除锈，防腐蚀处理，每次扣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5A7EA60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季度考核、抽查</w:t>
            </w:r>
          </w:p>
        </w:tc>
      </w:tr>
      <w:tr w14:paraId="3B2506F1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2CF535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4C1F040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未定期对相关附属设施整修，每次扣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2097D1E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季度考核、抽查</w:t>
            </w:r>
          </w:p>
        </w:tc>
      </w:tr>
      <w:tr w14:paraId="568FD6A6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96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515CF0">
            <w:pPr>
              <w:autoSpaceDE w:val="0"/>
              <w:autoSpaceDN w:val="0"/>
              <w:adjustRightInd w:val="0"/>
              <w:spacing w:line="288" w:lineRule="auto"/>
              <w:ind w:firstLine="482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二、台账资料考核</w:t>
            </w:r>
            <w:r>
              <w:rPr>
                <w:rFonts w:ascii="Times New Roman" w:hAnsi="Times New Roman" w:eastAsia="仿宋"/>
                <w:b/>
                <w:sz w:val="24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分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96CD2E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考核方式</w:t>
            </w:r>
          </w:p>
        </w:tc>
      </w:tr>
      <w:tr w14:paraId="3595F828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D1F15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日常报表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E1DEFF3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认真如实填写污水处理厂及管网的运营维护日报表、月报表，开展自查（自查比例不少于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30%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），每月上报运营维护、自查情况汇总。填写不规范每次每件扣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分，不按时上报或延迟上报每次扣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  <w:p w14:paraId="045F93BD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及时上报年度工作计划，经甲方审核认可后按月按计划进行运营维护。未上报年度计划的扣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分，计划实施不到位的每次扣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05F02A8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现场查阅</w:t>
            </w:r>
          </w:p>
        </w:tc>
      </w:tr>
      <w:tr w14:paraId="3FA85540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3BC0A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巡查记录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E615F58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运营维护须建立巡视制度，每周巡视不少于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次；维修维护施工工地等重点区域要求每天巡视。低于巡视频率的每发现一次扣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分；巡查记录不及时扣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分，巡查记录不真实扣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每处。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100231E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现场查阅</w:t>
            </w:r>
          </w:p>
        </w:tc>
      </w:tr>
      <w:tr w14:paraId="7B9B72F7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7596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D46606">
            <w:pPr>
              <w:autoSpaceDE w:val="0"/>
              <w:autoSpaceDN w:val="0"/>
              <w:adjustRightInd w:val="0"/>
              <w:spacing w:line="288" w:lineRule="auto"/>
              <w:ind w:firstLine="482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三、问题整改及投诉处理考核情况</w:t>
            </w:r>
            <w:r>
              <w:rPr>
                <w:rFonts w:ascii="Times New Roman" w:hAnsi="Times New Roman" w:eastAsia="仿宋"/>
                <w:b/>
                <w:sz w:val="24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分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275C285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考核方式</w:t>
            </w:r>
          </w:p>
        </w:tc>
      </w:tr>
      <w:tr w14:paraId="68D2C2F0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7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6E37C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处理及时率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81D51D4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对上季度考核通报问题未及时完成整改并上报整改情况的，每一次扣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32B5F9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季度考核、抽查</w:t>
            </w:r>
          </w:p>
        </w:tc>
      </w:tr>
      <w:tr w14:paraId="3BFF3A4C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4452B7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9C2D24C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管理人员接到各类投诉事项后应第一时间赶赴现场（白天必须在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小时内，夜间在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小时内），并安排人员处理问题，及时如实上报处理结果，现场记录情况及照片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日内上报监管机构。保证信息畅通，指定联系电话必须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小时有人接听。管理人员不到现场处理投诉每次扣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分；超时或不报的每次扣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分，无记录的扣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分，上报情况与实际不符者每次扣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分；造成严重影响的扣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分；出现关机、无人接听、无法联系等情况，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分钟联系不到的每次扣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4C0D65C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日常记录，核查投诉反馈</w:t>
            </w:r>
          </w:p>
        </w:tc>
      </w:tr>
      <w:tr w14:paraId="08E7A452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F5C02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降低投诉率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B59F557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未在规定时间内及时处置相关市民投诉、热线转办、人大政协提案、甲方及监管机构交办事项的，每件扣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分，最多扣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1A89F0B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</w:p>
        </w:tc>
      </w:tr>
      <w:tr w14:paraId="004FE5FA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596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38E6AB">
            <w:pPr>
              <w:autoSpaceDE w:val="0"/>
              <w:autoSpaceDN w:val="0"/>
              <w:adjustRightInd w:val="0"/>
              <w:spacing w:line="288" w:lineRule="auto"/>
              <w:ind w:firstLine="482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四、应急抢险考核</w:t>
            </w:r>
            <w:r>
              <w:rPr>
                <w:rFonts w:ascii="Times New Roman" w:hAnsi="Times New Roman" w:eastAsia="仿宋"/>
                <w:b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分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1FEC34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考核方式</w:t>
            </w:r>
          </w:p>
        </w:tc>
      </w:tr>
      <w:tr w14:paraId="2D95E8DE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7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F106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应急抢险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BCCA3B1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、因乙方自身原因造成抢险项目组织不当，导致未在规定时间内完成抢险处置的，每次扣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3405282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全查</w:t>
            </w:r>
          </w:p>
        </w:tc>
      </w:tr>
      <w:tr w14:paraId="4F15094A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05B2E8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2501DAE">
            <w:pPr>
              <w:autoSpaceDE w:val="0"/>
              <w:autoSpaceDN w:val="0"/>
              <w:adjustRightInd w:val="0"/>
              <w:spacing w:line="288" w:lineRule="auto"/>
              <w:ind w:firstLine="48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、因乙方自身原因造成抢险处置不当，引发重大安全事故或形成恶劣社会影响的，每次扣</w:t>
            </w:r>
            <w:r>
              <w:rPr>
                <w:rFonts w:ascii="Times New Roman" w:hAnsi="Times New Roman" w:eastAsia="仿宋"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577959E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全查</w:t>
            </w:r>
          </w:p>
        </w:tc>
      </w:tr>
    </w:tbl>
    <w:p w14:paraId="1BE55139">
      <w:pPr>
        <w:spacing w:line="560" w:lineRule="exact"/>
        <w:ind w:firstLine="600" w:firstLineChars="250"/>
        <w:jc w:val="center"/>
        <w:rPr>
          <w:rFonts w:hint="eastAsia" w:asciiTheme="minorEastAsia" w:hAnsiTheme="minorEastAsia" w:eastAsiaTheme="minorEastAsia"/>
          <w:sz w:val="24"/>
        </w:rPr>
      </w:pPr>
    </w:p>
    <w:p w14:paraId="5845D38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4057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95676"/>
    <w:rsid w:val="6A8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仿宋26磅首行缩进"/>
    <w:basedOn w:val="1"/>
    <w:uiPriority w:val="0"/>
    <w:pPr>
      <w:spacing w:after="0" w:line="520" w:lineRule="exact"/>
      <w:ind w:firstLine="560" w:firstLineChars="200"/>
      <w:jc w:val="both"/>
    </w:pPr>
    <w:rPr>
      <w:rFonts w:hint="eastAsia" w:ascii="仿宋_GB2312" w:hAnsi="仿宋_GB2312" w:eastAsia="仿宋_GB2312" w:cs="仿宋_GB231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2023-05-11T02:39:00Z</dcterms:created>
  <dc:creator>Administrator</dc:creator>
  <cp:lastModifiedBy>Administrator</cp:lastModifiedBy>
  <dcterms:modified xsi:type="dcterms:W3CDTF">2024-12-04T09:30:11Z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DD0035B591FF4D6AAA91990843232F12_12</vt:lpwstr>
  </property>
</Properties>
</file>