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F366D">
      <w:pPr>
        <w:spacing w:after="312" w:afterLines="100"/>
        <w:jc w:val="center"/>
        <w:rPr>
          <w:b/>
          <w:sz w:val="36"/>
          <w:szCs w:val="36"/>
        </w:rPr>
      </w:pPr>
      <w:r>
        <w:rPr>
          <w:rFonts w:hint="eastAsia"/>
          <w:b/>
          <w:sz w:val="36"/>
          <w:szCs w:val="36"/>
          <w:lang w:val="en-US" w:eastAsia="zh-CN"/>
        </w:rPr>
        <w:t>托管运维</w:t>
      </w:r>
      <w:r>
        <w:rPr>
          <w:rFonts w:hint="eastAsia"/>
          <w:b/>
          <w:sz w:val="36"/>
          <w:szCs w:val="36"/>
        </w:rPr>
        <w:t>服务合同</w:t>
      </w:r>
    </w:p>
    <w:p w14:paraId="3806FB41">
      <w:pPr>
        <w:spacing w:line="360" w:lineRule="auto"/>
        <w:jc w:val="left"/>
        <w:rPr>
          <w:rFonts w:ascii="Times New Roman" w:hAnsi="Times New Roman"/>
          <w:sz w:val="28"/>
          <w:szCs w:val="28"/>
        </w:rPr>
      </w:pPr>
      <w:r>
        <w:rPr>
          <w:rFonts w:ascii="Times New Roman" w:hAnsi="Times New Roman"/>
          <w:sz w:val="28"/>
          <w:szCs w:val="28"/>
        </w:rPr>
        <w:t>甲方：</w:t>
      </w:r>
      <w:r>
        <w:rPr>
          <w:rFonts w:hint="eastAsia" w:ascii="Times New Roman" w:hAnsi="Times New Roman"/>
          <w:sz w:val="28"/>
          <w:szCs w:val="28"/>
          <w:u w:val="single"/>
          <w:lang w:val="en-US" w:eastAsia="zh-CN"/>
        </w:rPr>
        <w:t xml:space="preserve">                           </w:t>
      </w:r>
    </w:p>
    <w:p w14:paraId="7E081268">
      <w:pPr>
        <w:spacing w:line="360" w:lineRule="auto"/>
        <w:jc w:val="left"/>
        <w:rPr>
          <w:rFonts w:hint="default" w:ascii="Times New Roman" w:hAnsi="Times New Roman" w:eastAsia="宋体"/>
          <w:sz w:val="28"/>
          <w:szCs w:val="28"/>
          <w:lang w:val="en-US" w:eastAsia="zh-CN"/>
        </w:rPr>
      </w:pPr>
      <w:r>
        <w:rPr>
          <w:rFonts w:ascii="Times New Roman" w:hAnsi="Times New Roman"/>
          <w:sz w:val="28"/>
          <w:szCs w:val="28"/>
        </w:rPr>
        <w:t>乙方：</w:t>
      </w:r>
      <w:r>
        <w:rPr>
          <w:rFonts w:hint="eastAsia"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p>
    <w:p w14:paraId="796AEB4F">
      <w:pPr>
        <w:ind w:firstLine="560" w:firstLineChars="200"/>
        <w:rPr>
          <w:rFonts w:ascii="Times New Roman" w:hAnsi="Times New Roman"/>
          <w:sz w:val="28"/>
          <w:szCs w:val="28"/>
        </w:rPr>
      </w:pPr>
      <w:r>
        <w:rPr>
          <w:rFonts w:ascii="Times New Roman" w:hAnsi="Times New Roman"/>
          <w:sz w:val="28"/>
          <w:szCs w:val="28"/>
        </w:rPr>
        <w:t>根据《中华人民共和国民法典》及有关法律法规的规定，遵循平等自愿和诚实信用的原则，结合本污水处理项目的具体情况，经</w:t>
      </w:r>
      <w:r>
        <w:rPr>
          <w:rFonts w:hint="eastAsia" w:ascii="Times New Roman" w:hAnsi="Times New Roman"/>
          <w:sz w:val="28"/>
          <w:szCs w:val="28"/>
          <w:lang w:val="en-US" w:eastAsia="zh-CN"/>
        </w:rPr>
        <w:t>公开比选确定成交人，乙方已完全响应比选公告及合同条款内容</w:t>
      </w:r>
      <w:r>
        <w:rPr>
          <w:rFonts w:hint="eastAsia" w:ascii="Times New Roman" w:hAnsi="Times New Roman"/>
          <w:sz w:val="28"/>
          <w:szCs w:val="28"/>
          <w:lang w:eastAsia="zh-CN"/>
        </w:rPr>
        <w:t>，</w:t>
      </w:r>
      <w:r>
        <w:rPr>
          <w:rFonts w:ascii="Times New Roman" w:hAnsi="Times New Roman"/>
          <w:sz w:val="28"/>
          <w:szCs w:val="28"/>
        </w:rPr>
        <w:t>并签订本合同。</w:t>
      </w:r>
    </w:p>
    <w:p w14:paraId="4A0D3928">
      <w:pPr>
        <w:spacing w:line="360" w:lineRule="auto"/>
        <w:jc w:val="left"/>
        <w:rPr>
          <w:rFonts w:ascii="Times New Roman" w:hAnsi="Times New Roman"/>
          <w:b/>
          <w:sz w:val="28"/>
          <w:szCs w:val="28"/>
        </w:rPr>
      </w:pPr>
      <w:r>
        <w:rPr>
          <w:rFonts w:ascii="Times New Roman" w:hAnsi="Times New Roman"/>
          <w:b/>
          <w:sz w:val="28"/>
          <w:szCs w:val="28"/>
        </w:rPr>
        <w:t>第一条</w:t>
      </w:r>
      <w:r>
        <w:rPr>
          <w:rFonts w:hint="eastAsia" w:ascii="Times New Roman" w:hAnsi="Times New Roman"/>
          <w:b/>
          <w:sz w:val="28"/>
          <w:szCs w:val="28"/>
        </w:rPr>
        <w:t>：项目概况</w:t>
      </w:r>
    </w:p>
    <w:p w14:paraId="46D68902">
      <w:pPr>
        <w:spacing w:line="360" w:lineRule="auto"/>
        <w:ind w:firstLine="560" w:firstLineChars="200"/>
        <w:jc w:val="left"/>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项目名称：</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rPr>
        <w:t xml:space="preserve">                                  </w:t>
      </w:r>
    </w:p>
    <w:p w14:paraId="6068ECF0">
      <w:pPr>
        <w:spacing w:line="360" w:lineRule="auto"/>
        <w:ind w:firstLine="560" w:firstLineChars="200"/>
        <w:jc w:val="left"/>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项目地点：</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rPr>
        <w:t xml:space="preserve">                            </w:t>
      </w:r>
    </w:p>
    <w:p w14:paraId="116A0F41">
      <w:pPr>
        <w:spacing w:line="360" w:lineRule="auto"/>
        <w:ind w:firstLine="560" w:firstLineChars="200"/>
        <w:jc w:val="left"/>
        <w:rPr>
          <w:rFonts w:hint="eastAsia" w:ascii="Times New Roman" w:hAnsi="Times New Roman"/>
          <w:sz w:val="28"/>
          <w:szCs w:val="28"/>
        </w:rPr>
      </w:pPr>
      <w:r>
        <w:rPr>
          <w:rFonts w:hint="eastAsia" w:ascii="Times New Roman" w:hAnsi="Times New Roman"/>
          <w:sz w:val="28"/>
          <w:szCs w:val="28"/>
          <w:lang w:val="en-US" w:eastAsia="zh-CN"/>
        </w:rPr>
        <w:t>3</w:t>
      </w:r>
      <w:r>
        <w:rPr>
          <w:rFonts w:hint="eastAsia" w:ascii="Times New Roman" w:hAnsi="Times New Roman"/>
          <w:sz w:val="28"/>
          <w:szCs w:val="28"/>
        </w:rPr>
        <w:t>、</w:t>
      </w:r>
      <w:r>
        <w:rPr>
          <w:rFonts w:hint="eastAsia" w:ascii="Times New Roman" w:hAnsi="Times New Roman"/>
          <w:sz w:val="28"/>
          <w:szCs w:val="28"/>
          <w:lang w:val="en-US" w:eastAsia="zh-CN"/>
        </w:rPr>
        <w:t>项目</w:t>
      </w:r>
      <w:r>
        <w:rPr>
          <w:rFonts w:hint="eastAsia" w:ascii="Times New Roman" w:hAnsi="Times New Roman"/>
          <w:sz w:val="28"/>
          <w:szCs w:val="28"/>
        </w:rPr>
        <w:t>内容：</w:t>
      </w:r>
      <w:r>
        <w:rPr>
          <w:rFonts w:hint="eastAsia" w:ascii="Times New Roman" w:hAnsi="Times New Roman"/>
          <w:sz w:val="28"/>
          <w:szCs w:val="28"/>
          <w:lang w:val="en-US" w:eastAsia="zh-CN"/>
        </w:rPr>
        <w:t>XXX污水处理厂</w:t>
      </w:r>
      <w:r>
        <w:rPr>
          <w:rFonts w:hint="eastAsia" w:ascii="Times New Roman" w:hAnsi="Times New Roman"/>
          <w:sz w:val="28"/>
          <w:szCs w:val="28"/>
        </w:rPr>
        <w:t>三个月托管运维服务。</w:t>
      </w:r>
      <w:r>
        <w:rPr>
          <w:rFonts w:hint="eastAsia" w:ascii="Times New Roman" w:hAnsi="Times New Roman"/>
          <w:sz w:val="28"/>
          <w:szCs w:val="28"/>
          <w:lang w:val="en-US" w:eastAsia="zh-CN"/>
        </w:rPr>
        <w:t>成交</w:t>
      </w:r>
      <w:r>
        <w:rPr>
          <w:rFonts w:hint="eastAsia" w:ascii="Times New Roman" w:hAnsi="Times New Roman"/>
          <w:sz w:val="28"/>
          <w:szCs w:val="28"/>
        </w:rPr>
        <w:t>人负责提供污水处理厂正常生产所需技术、操作、维修等人员及管理。</w:t>
      </w:r>
      <w:bookmarkStart w:id="1" w:name="_GoBack"/>
      <w:bookmarkEnd w:id="1"/>
      <w:r>
        <w:rPr>
          <w:rFonts w:hint="eastAsia" w:ascii="Times New Roman" w:hAnsi="Times New Roman"/>
          <w:sz w:val="28"/>
          <w:szCs w:val="28"/>
        </w:rPr>
        <w:t>出水水质达到</w:t>
      </w:r>
      <w:r>
        <w:rPr>
          <w:rFonts w:ascii="Times New Roman" w:hAnsi="Times New Roman"/>
          <w:sz w:val="28"/>
          <w:szCs w:val="28"/>
        </w:rPr>
        <w:t>《城镇污水处理厂污染物排放标准》GB18918-2002</w:t>
      </w:r>
      <w:r>
        <w:rPr>
          <w:rFonts w:hint="eastAsia" w:ascii="Times New Roman" w:hAnsi="Times New Roman"/>
          <w:sz w:val="28"/>
          <w:szCs w:val="28"/>
          <w:lang w:val="en-US" w:eastAsia="zh-CN"/>
        </w:rPr>
        <w:t>中的</w:t>
      </w:r>
      <w:r>
        <w:rPr>
          <w:rFonts w:ascii="Times New Roman" w:hAnsi="Times New Roman"/>
          <w:sz w:val="28"/>
          <w:szCs w:val="28"/>
        </w:rPr>
        <w:t>一级</w:t>
      </w:r>
      <w:r>
        <w:rPr>
          <w:rFonts w:hint="eastAsia" w:ascii="Times New Roman" w:hAnsi="Times New Roman"/>
          <w:sz w:val="28"/>
          <w:szCs w:val="28"/>
          <w:lang w:val="en-US" w:eastAsia="zh-CN"/>
        </w:rPr>
        <w:t>A</w:t>
      </w:r>
      <w:r>
        <w:rPr>
          <w:rFonts w:ascii="Times New Roman" w:hAnsi="Times New Roman"/>
          <w:sz w:val="28"/>
          <w:szCs w:val="28"/>
        </w:rPr>
        <w:t>标准</w:t>
      </w:r>
      <w:r>
        <w:rPr>
          <w:rFonts w:hint="eastAsia" w:ascii="Times New Roman" w:hAnsi="Times New Roman"/>
          <w:sz w:val="28"/>
          <w:szCs w:val="28"/>
        </w:rPr>
        <w:t>。具体进出水水质指标如下：</w:t>
      </w:r>
    </w:p>
    <w:tbl>
      <w:tblPr>
        <w:tblStyle w:val="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041"/>
        <w:gridCol w:w="1134"/>
        <w:gridCol w:w="973"/>
        <w:gridCol w:w="1027"/>
        <w:gridCol w:w="880"/>
        <w:gridCol w:w="906"/>
        <w:gridCol w:w="787"/>
        <w:gridCol w:w="1276"/>
      </w:tblGrid>
      <w:tr w14:paraId="16B0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33" w:type="dxa"/>
            <mc:AlternateContent>
              <mc:Choice Requires="wpsCustomData">
                <wpsCustomData:diagonals>
                  <wpsCustomData:diagonal from="10000" to="30000">
                    <wpsCustomData:border w:val="single" w:color="auto" w:sz="4" w:space="0"/>
                  </wpsCustomData:diagonal>
                </wpsCustomData:diagonals>
              </mc:Choice>
            </mc:AlternateContent>
          </w:tcPr>
          <w:p w14:paraId="150CFBB7">
            <w:pPr>
              <w:snapToGrid w:val="0"/>
              <w:spacing w:line="240" w:lineRule="auto"/>
              <w:jc w:val="left"/>
              <mc:AlternateContent>
                <mc:Choice Requires="wpsCustomData">
                  <wpsCustomData:diagonalParaType/>
                </mc:Choice>
              </mc:AlternateContent>
              <w:rPr>
                <w:rFonts w:hint="eastAsia" w:ascii="Times New Roman" w:hAnsi="Times New Roman" w:eastAsia="宋体"/>
                <w:sz w:val="21"/>
                <w:szCs w:val="21"/>
                <w:vertAlign w:val="baseline"/>
                <w:lang w:val="en-US" w:eastAsia="zh-CN"/>
              </w:rPr>
            </w:pPr>
            <w:r>
              <w:rPr>
                <w:rFonts w:hint="eastAsia" w:ascii="Times New Roman" w:hAnsi="Times New Roman"/>
                <w:sz w:val="21"/>
                <w:szCs w:val="21"/>
                <w:vertAlign w:val="baseline"/>
                <w:lang w:val="en-US" w:eastAsia="zh-CN"/>
              </w:rPr>
              <w:t>位置</w:t>
            </w:r>
          </w:p>
          <w:p w14:paraId="6F1BCD1A">
            <w:pPr>
              <w:spacing w:line="360" w:lineRule="auto"/>
              <w:jc w:val="left"/>
              <w:rPr>
                <w:rFonts w:hint="eastAsia" w:ascii="Times New Roman" w:hAnsi="Times New Roman" w:eastAsia="宋体"/>
                <w:sz w:val="21"/>
                <w:szCs w:val="21"/>
                <w:vertAlign w:val="baseline"/>
                <w:lang w:val="en-US" w:eastAsia="zh-CN"/>
              </w:rPr>
            </w:pPr>
            <w:r>
              <w:rPr>
                <w:rFonts w:hint="eastAsia" w:ascii="Times New Roman" w:hAnsi="Times New Roman"/>
                <w:sz w:val="21"/>
                <w:szCs w:val="21"/>
                <w:vertAlign w:val="baseline"/>
                <w:lang w:val="en-US" w:eastAsia="zh-CN"/>
              </w:rPr>
              <w:t>项目</w:t>
            </w:r>
          </w:p>
        </w:tc>
        <w:tc>
          <w:tcPr>
            <w:tcW w:w="1041" w:type="dxa"/>
          </w:tcPr>
          <w:p w14:paraId="2DB9074F">
            <w:pPr>
              <w:spacing w:line="24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COD</w:t>
            </w:r>
          </w:p>
          <w:p w14:paraId="19E9C152">
            <w:pPr>
              <w:spacing w:line="240" w:lineRule="auto"/>
              <w:jc w:val="left"/>
              <w:rPr>
                <w:rFonts w:hint="default" w:ascii="Times New Roman" w:hAnsi="Times New Roman" w:eastAsia="宋体"/>
                <w:sz w:val="15"/>
                <w:szCs w:val="15"/>
                <w:vertAlign w:val="baseline"/>
                <w:lang w:val="en-US" w:eastAsia="zh-CN"/>
              </w:rPr>
            </w:pPr>
            <w:r>
              <w:rPr>
                <w:rFonts w:hint="eastAsia" w:ascii="Times New Roman" w:hAnsi="Times New Roman"/>
                <w:sz w:val="15"/>
                <w:szCs w:val="15"/>
                <w:vertAlign w:val="baseline"/>
                <w:lang w:val="en-US" w:eastAsia="zh-CN"/>
              </w:rPr>
              <w:t>（mg/L）</w:t>
            </w:r>
          </w:p>
        </w:tc>
        <w:tc>
          <w:tcPr>
            <w:tcW w:w="1134" w:type="dxa"/>
          </w:tcPr>
          <w:p w14:paraId="0014DA15">
            <w:pPr>
              <w:spacing w:line="360" w:lineRule="auto"/>
              <w:jc w:val="left"/>
              <w:rPr>
                <w:rFonts w:hint="default" w:ascii="Times New Roman" w:hAnsi="Times New Roman"/>
                <w:sz w:val="15"/>
                <w:szCs w:val="15"/>
                <w:vertAlign w:val="subscript"/>
                <w:lang w:val="en-US" w:eastAsia="zh-CN"/>
              </w:rPr>
            </w:pPr>
            <w:r>
              <w:rPr>
                <w:rFonts w:hint="eastAsia" w:ascii="Times New Roman" w:hAnsi="Times New Roman"/>
                <w:sz w:val="15"/>
                <w:szCs w:val="15"/>
                <w:vertAlign w:val="baseline"/>
                <w:lang w:val="en-US" w:eastAsia="zh-CN"/>
              </w:rPr>
              <w:t>BOD</w:t>
            </w:r>
            <w:r>
              <w:rPr>
                <w:rFonts w:hint="eastAsia" w:ascii="Times New Roman" w:hAnsi="Times New Roman"/>
                <w:sz w:val="15"/>
                <w:szCs w:val="15"/>
                <w:vertAlign w:val="subscript"/>
                <w:lang w:val="en-US" w:eastAsia="zh-CN"/>
              </w:rPr>
              <w:t>5</w:t>
            </w:r>
          </w:p>
          <w:p w14:paraId="1428A16A">
            <w:pPr>
              <w:spacing w:line="360" w:lineRule="auto"/>
              <w:jc w:val="left"/>
              <w:rPr>
                <w:rFonts w:hint="default"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（mg/L）</w:t>
            </w:r>
          </w:p>
        </w:tc>
        <w:tc>
          <w:tcPr>
            <w:tcW w:w="973" w:type="dxa"/>
          </w:tcPr>
          <w:p w14:paraId="34025005">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总磷</w:t>
            </w:r>
          </w:p>
          <w:p w14:paraId="6A8AFD41">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（mg/L）</w:t>
            </w:r>
          </w:p>
        </w:tc>
        <w:tc>
          <w:tcPr>
            <w:tcW w:w="1027" w:type="dxa"/>
            <w:vAlign w:val="top"/>
          </w:tcPr>
          <w:p w14:paraId="5131B8CD">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氨氮</w:t>
            </w:r>
          </w:p>
          <w:p w14:paraId="61946792">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（mg/L）</w:t>
            </w:r>
          </w:p>
        </w:tc>
        <w:tc>
          <w:tcPr>
            <w:tcW w:w="880" w:type="dxa"/>
            <w:vAlign w:val="top"/>
          </w:tcPr>
          <w:p w14:paraId="5FE34385">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总磷</w:t>
            </w:r>
          </w:p>
          <w:p w14:paraId="5E4C1CC0">
            <w:pPr>
              <w:spacing w:line="360" w:lineRule="auto"/>
              <w:jc w:val="left"/>
              <w:rPr>
                <w:rFonts w:hint="default"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（mg/L）</w:t>
            </w:r>
          </w:p>
        </w:tc>
        <w:tc>
          <w:tcPr>
            <w:tcW w:w="906" w:type="dxa"/>
            <w:vAlign w:val="top"/>
          </w:tcPr>
          <w:p w14:paraId="4513EF94">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总氮</w:t>
            </w:r>
          </w:p>
          <w:p w14:paraId="35F07CC2">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（mg/L）</w:t>
            </w:r>
          </w:p>
        </w:tc>
        <w:tc>
          <w:tcPr>
            <w:tcW w:w="787" w:type="dxa"/>
            <w:vAlign w:val="top"/>
          </w:tcPr>
          <w:p w14:paraId="01F8A4B3">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PH值</w:t>
            </w:r>
          </w:p>
          <w:p w14:paraId="2F2E3140">
            <w:pPr>
              <w:spacing w:line="360" w:lineRule="auto"/>
              <w:jc w:val="left"/>
              <w:rPr>
                <w:rFonts w:hint="eastAsia" w:ascii="Times New Roman" w:hAnsi="Times New Roman"/>
                <w:sz w:val="15"/>
                <w:szCs w:val="15"/>
                <w:vertAlign w:val="baseline"/>
                <w:lang w:val="en-US" w:eastAsia="zh-CN"/>
              </w:rPr>
            </w:pPr>
            <w:r>
              <w:rPr>
                <w:rFonts w:hint="eastAsia" w:ascii="Times New Roman" w:hAnsi="Times New Roman"/>
                <w:sz w:val="15"/>
                <w:szCs w:val="15"/>
                <w:vertAlign w:val="baseline"/>
                <w:lang w:val="en-US" w:eastAsia="zh-CN"/>
              </w:rPr>
              <w:t>(无量纲)</w:t>
            </w:r>
          </w:p>
        </w:tc>
        <w:tc>
          <w:tcPr>
            <w:tcW w:w="1276" w:type="dxa"/>
          </w:tcPr>
          <w:p w14:paraId="58475511">
            <w:pPr>
              <w:spacing w:line="360" w:lineRule="auto"/>
              <w:jc w:val="left"/>
              <w:rPr>
                <w:rFonts w:hint="default" w:ascii="Times New Roman" w:hAnsi="Times New Roman" w:eastAsia="宋体"/>
                <w:sz w:val="15"/>
                <w:szCs w:val="15"/>
                <w:vertAlign w:val="baseline"/>
                <w:lang w:val="en-US" w:eastAsia="zh-CN"/>
              </w:rPr>
            </w:pPr>
            <w:r>
              <w:rPr>
                <w:rFonts w:hint="eastAsia" w:ascii="Times New Roman" w:hAnsi="Times New Roman"/>
                <w:sz w:val="15"/>
                <w:szCs w:val="15"/>
                <w:vertAlign w:val="baseline"/>
                <w:lang w:val="en-US" w:eastAsia="zh-CN"/>
              </w:rPr>
              <w:t>备注说明</w:t>
            </w:r>
          </w:p>
        </w:tc>
      </w:tr>
      <w:tr w14:paraId="13E1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3" w:type="dxa"/>
          </w:tcPr>
          <w:p w14:paraId="57F45E5C">
            <w:pPr>
              <w:spacing w:line="360" w:lineRule="auto"/>
              <w:jc w:val="left"/>
              <w:rPr>
                <w:rFonts w:hint="eastAsia" w:ascii="Times New Roman" w:hAnsi="Times New Roman" w:eastAsia="宋体"/>
                <w:sz w:val="21"/>
                <w:szCs w:val="21"/>
                <w:vertAlign w:val="baseline"/>
                <w:lang w:val="en-US" w:eastAsia="zh-CN"/>
              </w:rPr>
            </w:pPr>
            <w:r>
              <w:rPr>
                <w:rFonts w:hint="eastAsia" w:ascii="Times New Roman" w:hAnsi="Times New Roman"/>
                <w:sz w:val="21"/>
                <w:szCs w:val="21"/>
                <w:vertAlign w:val="baseline"/>
                <w:lang w:val="en-US" w:eastAsia="zh-CN"/>
              </w:rPr>
              <w:t>进水</w:t>
            </w:r>
          </w:p>
        </w:tc>
        <w:tc>
          <w:tcPr>
            <w:tcW w:w="1041" w:type="dxa"/>
          </w:tcPr>
          <w:p w14:paraId="4FF22265">
            <w:pPr>
              <w:spacing w:line="360" w:lineRule="auto"/>
              <w:jc w:val="left"/>
              <w:rPr>
                <w:rFonts w:hint="default" w:ascii="Times New Roman" w:hAnsi="Times New Roman" w:eastAsia="宋体"/>
                <w:sz w:val="21"/>
                <w:szCs w:val="21"/>
                <w:vertAlign w:val="baseline"/>
                <w:lang w:val="en-US" w:eastAsia="zh-CN"/>
              </w:rPr>
            </w:pPr>
          </w:p>
        </w:tc>
        <w:tc>
          <w:tcPr>
            <w:tcW w:w="1134" w:type="dxa"/>
          </w:tcPr>
          <w:p w14:paraId="7AF46DA2">
            <w:pPr>
              <w:spacing w:line="360" w:lineRule="auto"/>
              <w:jc w:val="left"/>
              <w:rPr>
                <w:rFonts w:hint="default" w:ascii="Times New Roman" w:hAnsi="Times New Roman" w:eastAsia="宋体"/>
                <w:sz w:val="21"/>
                <w:szCs w:val="21"/>
                <w:vertAlign w:val="baseline"/>
                <w:lang w:val="en-US" w:eastAsia="zh-CN"/>
              </w:rPr>
            </w:pPr>
          </w:p>
        </w:tc>
        <w:tc>
          <w:tcPr>
            <w:tcW w:w="973" w:type="dxa"/>
          </w:tcPr>
          <w:p w14:paraId="756EA097">
            <w:pPr>
              <w:spacing w:line="360" w:lineRule="auto"/>
              <w:jc w:val="left"/>
              <w:rPr>
                <w:rFonts w:hint="default" w:ascii="Times New Roman" w:hAnsi="Times New Roman"/>
                <w:sz w:val="21"/>
                <w:szCs w:val="21"/>
                <w:vertAlign w:val="baseline"/>
                <w:lang w:val="en-US"/>
              </w:rPr>
            </w:pPr>
          </w:p>
        </w:tc>
        <w:tc>
          <w:tcPr>
            <w:tcW w:w="1027" w:type="dxa"/>
            <w:vAlign w:val="top"/>
          </w:tcPr>
          <w:p w14:paraId="4538AF58">
            <w:pPr>
              <w:spacing w:line="360" w:lineRule="auto"/>
              <w:jc w:val="left"/>
              <w:rPr>
                <w:rFonts w:hint="default" w:ascii="Times New Roman" w:hAnsi="Times New Roman"/>
                <w:sz w:val="21"/>
                <w:szCs w:val="21"/>
                <w:vertAlign w:val="baseline"/>
                <w:lang w:val="en-US"/>
              </w:rPr>
            </w:pPr>
          </w:p>
        </w:tc>
        <w:tc>
          <w:tcPr>
            <w:tcW w:w="880" w:type="dxa"/>
            <w:vAlign w:val="top"/>
          </w:tcPr>
          <w:p w14:paraId="3903789E">
            <w:pPr>
              <w:spacing w:line="360" w:lineRule="auto"/>
              <w:jc w:val="left"/>
              <w:rPr>
                <w:rFonts w:hint="default" w:ascii="Times New Roman" w:hAnsi="Times New Roman"/>
                <w:sz w:val="21"/>
                <w:szCs w:val="21"/>
                <w:vertAlign w:val="baseline"/>
                <w:lang w:val="en-US"/>
              </w:rPr>
            </w:pPr>
          </w:p>
        </w:tc>
        <w:tc>
          <w:tcPr>
            <w:tcW w:w="906" w:type="dxa"/>
            <w:vAlign w:val="top"/>
          </w:tcPr>
          <w:p w14:paraId="780B382B">
            <w:pPr>
              <w:spacing w:line="360" w:lineRule="auto"/>
              <w:jc w:val="left"/>
              <w:rPr>
                <w:rFonts w:hint="default" w:ascii="Times New Roman" w:hAnsi="Times New Roman"/>
                <w:sz w:val="21"/>
                <w:szCs w:val="21"/>
                <w:vertAlign w:val="baseline"/>
                <w:lang w:val="en-US" w:eastAsia="zh-CN"/>
              </w:rPr>
            </w:pPr>
          </w:p>
        </w:tc>
        <w:tc>
          <w:tcPr>
            <w:tcW w:w="787" w:type="dxa"/>
            <w:vAlign w:val="top"/>
          </w:tcPr>
          <w:p w14:paraId="7EB00187">
            <w:pPr>
              <w:spacing w:line="360" w:lineRule="auto"/>
              <w:jc w:val="left"/>
              <w:rPr>
                <w:rFonts w:hint="default" w:ascii="Times New Roman" w:hAnsi="Times New Roman"/>
                <w:sz w:val="21"/>
                <w:szCs w:val="21"/>
                <w:vertAlign w:val="baseline"/>
                <w:lang w:val="en-US" w:eastAsia="zh-CN"/>
              </w:rPr>
            </w:pPr>
          </w:p>
        </w:tc>
        <w:tc>
          <w:tcPr>
            <w:tcW w:w="1276" w:type="dxa"/>
            <w:vMerge w:val="restart"/>
          </w:tcPr>
          <w:p w14:paraId="241021E5">
            <w:pPr>
              <w:spacing w:line="360" w:lineRule="auto"/>
              <w:jc w:val="left"/>
              <w:rPr>
                <w:rFonts w:hint="default" w:ascii="Times New Roman" w:hAnsi="Times New Roman" w:eastAsia="宋体"/>
                <w:sz w:val="21"/>
                <w:szCs w:val="21"/>
                <w:vertAlign w:val="baseline"/>
                <w:lang w:val="en-US" w:eastAsia="zh-CN"/>
              </w:rPr>
            </w:pPr>
            <w:r>
              <w:rPr>
                <w:rFonts w:hint="eastAsia" w:ascii="Times New Roman" w:hAnsi="Times New Roman"/>
                <w:sz w:val="21"/>
                <w:szCs w:val="21"/>
                <w:vertAlign w:val="baseline"/>
                <w:lang w:val="en-US" w:eastAsia="zh-CN"/>
              </w:rPr>
              <w:t>特殊因子，按污水处理设计及排污许可证要求执行</w:t>
            </w:r>
          </w:p>
        </w:tc>
      </w:tr>
      <w:tr w14:paraId="7C4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33" w:type="dxa"/>
          </w:tcPr>
          <w:p w14:paraId="424B43B4">
            <w:pPr>
              <w:spacing w:line="360" w:lineRule="auto"/>
              <w:jc w:val="left"/>
              <w:rPr>
                <w:rFonts w:hint="eastAsia" w:ascii="Times New Roman" w:hAnsi="Times New Roman" w:eastAsia="宋体"/>
                <w:sz w:val="21"/>
                <w:szCs w:val="21"/>
                <w:vertAlign w:val="baseline"/>
                <w:lang w:val="en-US" w:eastAsia="zh-CN"/>
              </w:rPr>
            </w:pPr>
            <w:r>
              <w:rPr>
                <w:rFonts w:hint="eastAsia" w:ascii="Times New Roman" w:hAnsi="Times New Roman"/>
                <w:sz w:val="21"/>
                <w:szCs w:val="21"/>
                <w:vertAlign w:val="baseline"/>
                <w:lang w:val="en-US" w:eastAsia="zh-CN"/>
              </w:rPr>
              <w:t>出水</w:t>
            </w:r>
          </w:p>
        </w:tc>
        <w:tc>
          <w:tcPr>
            <w:tcW w:w="1041" w:type="dxa"/>
          </w:tcPr>
          <w:p w14:paraId="24C795AE">
            <w:pPr>
              <w:spacing w:line="360" w:lineRule="auto"/>
              <w:jc w:val="left"/>
              <w:rPr>
                <w:rFonts w:hint="default" w:ascii="Times New Roman" w:hAnsi="Times New Roman" w:eastAsia="宋体"/>
                <w:sz w:val="21"/>
                <w:szCs w:val="21"/>
                <w:vertAlign w:val="baseline"/>
                <w:lang w:val="en-US" w:eastAsia="zh-CN"/>
              </w:rPr>
            </w:pPr>
          </w:p>
        </w:tc>
        <w:tc>
          <w:tcPr>
            <w:tcW w:w="1134" w:type="dxa"/>
          </w:tcPr>
          <w:p w14:paraId="1B24573D">
            <w:pPr>
              <w:spacing w:line="360" w:lineRule="auto"/>
              <w:jc w:val="left"/>
              <w:rPr>
                <w:rFonts w:hint="eastAsia" w:ascii="Times New Roman" w:hAnsi="Times New Roman"/>
                <w:sz w:val="21"/>
                <w:szCs w:val="21"/>
                <w:vertAlign w:val="baseline"/>
              </w:rPr>
            </w:pPr>
          </w:p>
        </w:tc>
        <w:tc>
          <w:tcPr>
            <w:tcW w:w="973" w:type="dxa"/>
          </w:tcPr>
          <w:p w14:paraId="16A603AD">
            <w:pPr>
              <w:spacing w:line="360" w:lineRule="auto"/>
              <w:jc w:val="left"/>
              <w:rPr>
                <w:rFonts w:hint="default" w:ascii="Times New Roman" w:hAnsi="Times New Roman"/>
                <w:sz w:val="21"/>
                <w:szCs w:val="21"/>
                <w:vertAlign w:val="baseline"/>
                <w:lang w:val="en-US"/>
              </w:rPr>
            </w:pPr>
          </w:p>
        </w:tc>
        <w:tc>
          <w:tcPr>
            <w:tcW w:w="1027" w:type="dxa"/>
            <w:vAlign w:val="top"/>
          </w:tcPr>
          <w:p w14:paraId="59182F55">
            <w:pPr>
              <w:spacing w:line="360" w:lineRule="auto"/>
              <w:jc w:val="left"/>
              <w:rPr>
                <w:rFonts w:hint="default" w:ascii="Times New Roman" w:hAnsi="Times New Roman"/>
                <w:sz w:val="21"/>
                <w:szCs w:val="21"/>
                <w:vertAlign w:val="baseline"/>
                <w:lang w:val="en-US"/>
              </w:rPr>
            </w:pPr>
          </w:p>
        </w:tc>
        <w:tc>
          <w:tcPr>
            <w:tcW w:w="880" w:type="dxa"/>
            <w:vAlign w:val="top"/>
          </w:tcPr>
          <w:p w14:paraId="4788234D">
            <w:pPr>
              <w:spacing w:line="360" w:lineRule="auto"/>
              <w:jc w:val="left"/>
              <w:rPr>
                <w:rFonts w:hint="eastAsia" w:ascii="Times New Roman" w:hAnsi="Times New Roman"/>
                <w:sz w:val="21"/>
                <w:szCs w:val="21"/>
                <w:vertAlign w:val="baseline"/>
              </w:rPr>
            </w:pPr>
          </w:p>
        </w:tc>
        <w:tc>
          <w:tcPr>
            <w:tcW w:w="906" w:type="dxa"/>
            <w:vAlign w:val="top"/>
          </w:tcPr>
          <w:p w14:paraId="6E02A006">
            <w:pPr>
              <w:spacing w:line="360" w:lineRule="auto"/>
              <w:jc w:val="left"/>
              <w:rPr>
                <w:rFonts w:hint="eastAsia" w:ascii="Times New Roman" w:hAnsi="Times New Roman"/>
                <w:sz w:val="21"/>
                <w:szCs w:val="21"/>
                <w:vertAlign w:val="baseline"/>
                <w:lang w:val="en-US" w:eastAsia="zh-CN"/>
              </w:rPr>
            </w:pPr>
          </w:p>
        </w:tc>
        <w:tc>
          <w:tcPr>
            <w:tcW w:w="787" w:type="dxa"/>
            <w:vAlign w:val="top"/>
          </w:tcPr>
          <w:p w14:paraId="4F65A59A">
            <w:pPr>
              <w:spacing w:line="360" w:lineRule="auto"/>
              <w:jc w:val="left"/>
              <w:rPr>
                <w:rFonts w:hint="eastAsia" w:ascii="Times New Roman" w:hAnsi="Times New Roman"/>
                <w:sz w:val="21"/>
                <w:szCs w:val="21"/>
                <w:vertAlign w:val="baseline"/>
                <w:lang w:val="en-US" w:eastAsia="zh-CN"/>
              </w:rPr>
            </w:pPr>
          </w:p>
        </w:tc>
        <w:tc>
          <w:tcPr>
            <w:tcW w:w="1276" w:type="dxa"/>
            <w:vMerge w:val="continue"/>
          </w:tcPr>
          <w:p w14:paraId="5D606EB9">
            <w:pPr>
              <w:spacing w:line="360" w:lineRule="auto"/>
              <w:jc w:val="left"/>
              <w:rPr>
                <w:rFonts w:hint="eastAsia" w:ascii="Times New Roman" w:hAnsi="Times New Roman"/>
                <w:sz w:val="21"/>
                <w:szCs w:val="21"/>
                <w:vertAlign w:val="baseline"/>
              </w:rPr>
            </w:pPr>
          </w:p>
        </w:tc>
      </w:tr>
    </w:tbl>
    <w:p w14:paraId="75F995FC">
      <w:pPr>
        <w:spacing w:line="360" w:lineRule="auto"/>
        <w:jc w:val="left"/>
        <w:rPr>
          <w:rFonts w:hint="eastAsia" w:ascii="Times New Roman" w:hAnsi="Times New Roman"/>
          <w:sz w:val="28"/>
          <w:szCs w:val="28"/>
          <w:lang w:val="en-US" w:eastAsia="zh-CN"/>
        </w:rPr>
      </w:pPr>
      <w:r>
        <w:rPr>
          <w:rFonts w:hint="eastAsia" w:ascii="Times New Roman" w:hAnsi="Times New Roman"/>
          <w:sz w:val="28"/>
          <w:szCs w:val="28"/>
          <w:lang w:val="en-US" w:eastAsia="zh-CN"/>
        </w:rPr>
        <w:t>备注：（1）以上只例举出常规因子，特殊因子按照污水处理厂设计文件及排污许可证要求执行。</w:t>
      </w:r>
    </w:p>
    <w:p w14:paraId="18A25974">
      <w:pPr>
        <w:spacing w:line="360" w:lineRule="auto"/>
        <w:jc w:val="left"/>
        <w:rPr>
          <w:rFonts w:hint="default" w:ascii="Times New Roman" w:hAnsi="Times New Roman"/>
          <w:sz w:val="28"/>
          <w:szCs w:val="28"/>
          <w:lang w:val="en-US" w:eastAsia="zh-CN"/>
        </w:rPr>
      </w:pPr>
      <w:r>
        <w:rPr>
          <w:rFonts w:hint="eastAsia" w:ascii="Times New Roman" w:hAnsi="Times New Roman"/>
          <w:sz w:val="28"/>
          <w:szCs w:val="28"/>
          <w:lang w:val="en-US" w:eastAsia="zh-CN"/>
        </w:rPr>
        <w:t>（2）具体污水处理厂进水指标要求，按照具体污水处理厂要求签定合同，包括但不限于以上指标。</w:t>
      </w:r>
    </w:p>
    <w:p w14:paraId="0A3B7EEC">
      <w:pPr>
        <w:spacing w:line="360" w:lineRule="auto"/>
        <w:jc w:val="left"/>
        <w:rPr>
          <w:rFonts w:ascii="Times New Roman" w:hAnsi="Times New Roman"/>
          <w:b/>
          <w:sz w:val="28"/>
          <w:szCs w:val="28"/>
        </w:rPr>
      </w:pPr>
      <w:r>
        <w:rPr>
          <w:rFonts w:ascii="Times New Roman" w:hAnsi="Times New Roman"/>
          <w:b/>
          <w:sz w:val="28"/>
          <w:szCs w:val="28"/>
        </w:rPr>
        <w:t>第</w:t>
      </w:r>
      <w:r>
        <w:rPr>
          <w:rFonts w:hint="eastAsia" w:ascii="Times New Roman" w:hAnsi="Times New Roman"/>
          <w:b/>
          <w:sz w:val="28"/>
          <w:szCs w:val="28"/>
        </w:rPr>
        <w:t>二</w:t>
      </w:r>
      <w:r>
        <w:rPr>
          <w:rFonts w:ascii="Times New Roman" w:hAnsi="Times New Roman"/>
          <w:b/>
          <w:sz w:val="28"/>
          <w:szCs w:val="28"/>
        </w:rPr>
        <w:t>条：</w:t>
      </w:r>
      <w:r>
        <w:rPr>
          <w:rFonts w:hint="eastAsia" w:ascii="Times New Roman" w:hAnsi="Times New Roman"/>
          <w:b/>
          <w:sz w:val="28"/>
          <w:szCs w:val="28"/>
        </w:rPr>
        <w:t>运营时间</w:t>
      </w:r>
    </w:p>
    <w:p w14:paraId="56372A81">
      <w:pPr>
        <w:spacing w:line="360" w:lineRule="auto"/>
        <w:ind w:firstLine="560" w:firstLineChars="200"/>
        <w:jc w:val="left"/>
        <w:rPr>
          <w:rFonts w:ascii="Times New Roman" w:hAnsi="Times New Roman"/>
          <w:sz w:val="28"/>
          <w:szCs w:val="28"/>
        </w:rPr>
      </w:pPr>
      <w:r>
        <w:rPr>
          <w:rFonts w:hint="eastAsia" w:ascii="Times New Roman" w:hAnsi="Times New Roman"/>
          <w:sz w:val="28"/>
          <w:szCs w:val="28"/>
        </w:rPr>
        <w:t>本合同所承包项目地点运营时间</w:t>
      </w:r>
      <w:r>
        <w:rPr>
          <w:rFonts w:hint="eastAsia" w:ascii="Times New Roman" w:hAnsi="Times New Roman"/>
          <w:sz w:val="28"/>
          <w:szCs w:val="28"/>
          <w:lang w:val="en-US" w:eastAsia="zh-CN"/>
        </w:rPr>
        <w:t>共计</w:t>
      </w:r>
      <w:r>
        <w:rPr>
          <w:rFonts w:hint="eastAsia" w:ascii="Times New Roman" w:hAnsi="Times New Roman"/>
          <w:sz w:val="28"/>
          <w:szCs w:val="28"/>
          <w:u w:val="single"/>
          <w:lang w:val="en-US" w:eastAsia="zh-CN"/>
        </w:rPr>
        <w:t>3</w:t>
      </w:r>
      <w:r>
        <w:rPr>
          <w:rFonts w:hint="eastAsia" w:ascii="Times New Roman" w:hAnsi="Times New Roman"/>
          <w:sz w:val="28"/>
          <w:szCs w:val="28"/>
          <w:lang w:val="en-US" w:eastAsia="zh-CN"/>
        </w:rPr>
        <w:t>个月，</w:t>
      </w:r>
      <w:r>
        <w:rPr>
          <w:rFonts w:hint="eastAsia" w:ascii="Times New Roman" w:hAnsi="Times New Roman"/>
          <w:sz w:val="28"/>
          <w:szCs w:val="28"/>
        </w:rPr>
        <w:t>从</w:t>
      </w:r>
      <w:r>
        <w:rPr>
          <w:rFonts w:hint="eastAsia" w:ascii="Times New Roman" w:hAnsi="Times New Roman"/>
          <w:sz w:val="28"/>
          <w:szCs w:val="28"/>
          <w:u w:val="single"/>
          <w:lang w:val="en-US" w:eastAsia="zh-CN"/>
        </w:rPr>
        <w:t>XXX</w:t>
      </w:r>
      <w:r>
        <w:rPr>
          <w:rFonts w:hint="eastAsia" w:ascii="Times New Roman" w:hAnsi="Times New Roman"/>
          <w:sz w:val="28"/>
          <w:szCs w:val="28"/>
        </w:rPr>
        <w:t>年</w:t>
      </w:r>
      <w:r>
        <w:rPr>
          <w:rFonts w:hint="eastAsia" w:ascii="Times New Roman" w:hAnsi="Times New Roman"/>
          <w:sz w:val="28"/>
          <w:szCs w:val="28"/>
          <w:u w:val="single"/>
          <w:lang w:val="en-US" w:eastAsia="zh-CN"/>
        </w:rPr>
        <w:t>X</w:t>
      </w:r>
      <w:r>
        <w:rPr>
          <w:rFonts w:hint="eastAsia" w:ascii="Times New Roman" w:hAnsi="Times New Roman"/>
          <w:sz w:val="28"/>
          <w:szCs w:val="28"/>
        </w:rPr>
        <w:t>月</w:t>
      </w:r>
      <w:r>
        <w:rPr>
          <w:rFonts w:hint="eastAsia" w:ascii="Times New Roman" w:hAnsi="Times New Roman"/>
          <w:sz w:val="28"/>
          <w:szCs w:val="28"/>
          <w:u w:val="single"/>
          <w:lang w:val="en-US" w:eastAsia="zh-CN"/>
        </w:rPr>
        <w:t>X</w:t>
      </w:r>
      <w:r>
        <w:rPr>
          <w:rFonts w:hint="eastAsia" w:ascii="Times New Roman" w:hAnsi="Times New Roman"/>
          <w:sz w:val="28"/>
          <w:szCs w:val="28"/>
        </w:rPr>
        <w:t>日起至</w:t>
      </w:r>
      <w:r>
        <w:rPr>
          <w:rFonts w:hint="eastAsia" w:ascii="Times New Roman" w:hAnsi="Times New Roman"/>
          <w:sz w:val="28"/>
          <w:szCs w:val="28"/>
          <w:u w:val="single"/>
          <w:lang w:val="en-US" w:eastAsia="zh-CN"/>
        </w:rPr>
        <w:t>XX</w:t>
      </w:r>
      <w:r>
        <w:rPr>
          <w:rFonts w:hint="eastAsia" w:ascii="Times New Roman" w:hAnsi="Times New Roman"/>
          <w:sz w:val="28"/>
          <w:szCs w:val="28"/>
        </w:rPr>
        <w:t>年</w:t>
      </w:r>
      <w:r>
        <w:rPr>
          <w:rFonts w:hint="eastAsia" w:ascii="Times New Roman" w:hAnsi="Times New Roman"/>
          <w:sz w:val="28"/>
          <w:szCs w:val="28"/>
          <w:u w:val="single"/>
          <w:lang w:val="en-US" w:eastAsia="zh-CN"/>
        </w:rPr>
        <w:t>X</w:t>
      </w:r>
      <w:r>
        <w:rPr>
          <w:rFonts w:hint="eastAsia" w:ascii="Times New Roman" w:hAnsi="Times New Roman"/>
          <w:sz w:val="28"/>
          <w:szCs w:val="28"/>
        </w:rPr>
        <w:t>月</w:t>
      </w:r>
      <w:r>
        <w:rPr>
          <w:rFonts w:hint="eastAsia" w:ascii="Times New Roman" w:hAnsi="Times New Roman"/>
          <w:sz w:val="28"/>
          <w:szCs w:val="28"/>
          <w:u w:val="single"/>
          <w:lang w:val="en-US" w:eastAsia="zh-CN"/>
        </w:rPr>
        <w:t>X</w:t>
      </w:r>
      <w:r>
        <w:rPr>
          <w:rFonts w:hint="eastAsia" w:ascii="Times New Roman" w:hAnsi="Times New Roman"/>
          <w:sz w:val="28"/>
          <w:szCs w:val="28"/>
        </w:rPr>
        <w:t>日止，具体运营时间由合同签订后次日起开始生效。</w:t>
      </w:r>
    </w:p>
    <w:p w14:paraId="6107792A">
      <w:pPr>
        <w:spacing w:line="360" w:lineRule="auto"/>
        <w:jc w:val="left"/>
        <w:rPr>
          <w:rFonts w:hint="eastAsia" w:ascii="Times New Roman" w:hAnsi="Times New Roman" w:eastAsia="宋体"/>
          <w:b/>
          <w:sz w:val="28"/>
          <w:szCs w:val="28"/>
          <w:lang w:eastAsia="zh-CN"/>
        </w:rPr>
      </w:pPr>
      <w:r>
        <w:rPr>
          <w:rFonts w:hint="eastAsia" w:ascii="Times New Roman" w:hAnsi="Times New Roman"/>
          <w:b/>
          <w:sz w:val="28"/>
          <w:szCs w:val="28"/>
        </w:rPr>
        <w:t>第三条：服务</w:t>
      </w:r>
      <w:r>
        <w:rPr>
          <w:rFonts w:hint="eastAsia" w:ascii="Times New Roman" w:hAnsi="Times New Roman"/>
          <w:b/>
          <w:sz w:val="28"/>
          <w:szCs w:val="28"/>
          <w:lang w:val="en-US" w:eastAsia="zh-CN"/>
        </w:rPr>
        <w:t>内容</w:t>
      </w:r>
    </w:p>
    <w:p w14:paraId="5F00644E">
      <w:pPr>
        <w:spacing w:line="360" w:lineRule="auto"/>
        <w:ind w:firstLine="560" w:firstLineChars="200"/>
        <w:jc w:val="left"/>
        <w:rPr>
          <w:rFonts w:ascii="Times New Roman" w:hAnsi="Times New Roman"/>
          <w:sz w:val="28"/>
          <w:szCs w:val="28"/>
        </w:rPr>
      </w:pPr>
      <w:r>
        <w:rPr>
          <w:rFonts w:hint="eastAsia" w:ascii="Times New Roman" w:hAnsi="Times New Roman"/>
          <w:sz w:val="28"/>
          <w:szCs w:val="28"/>
        </w:rPr>
        <w:t>污水处理厂工作人员统筹管理工作、污水处理工作（包含但不限于管网巡视、取水化验（如需）、设备巡视、登记记录、网站数据上报等）。</w:t>
      </w:r>
    </w:p>
    <w:p w14:paraId="302FF877">
      <w:pPr>
        <w:spacing w:line="360" w:lineRule="auto"/>
        <w:jc w:val="left"/>
        <w:rPr>
          <w:rFonts w:ascii="Times New Roman" w:hAnsi="Times New Roman"/>
          <w:b/>
          <w:sz w:val="28"/>
          <w:szCs w:val="28"/>
        </w:rPr>
      </w:pPr>
      <w:r>
        <w:rPr>
          <w:rFonts w:hint="eastAsia" w:ascii="Times New Roman" w:hAnsi="Times New Roman"/>
          <w:b/>
          <w:sz w:val="28"/>
          <w:szCs w:val="28"/>
        </w:rPr>
        <w:t>第四条：服务价格</w:t>
      </w:r>
    </w:p>
    <w:p w14:paraId="37FEA431">
      <w:pPr>
        <w:spacing w:line="360" w:lineRule="auto"/>
        <w:ind w:firstLine="560" w:firstLineChars="200"/>
        <w:jc w:val="left"/>
        <w:rPr>
          <w:rFonts w:hint="eastAsia" w:ascii="Times New Roman" w:hAnsi="Times New Roman"/>
          <w:sz w:val="28"/>
          <w:szCs w:val="28"/>
          <w:lang w:val="en-US" w:eastAsia="zh-CN"/>
        </w:rPr>
      </w:pPr>
      <w:r>
        <w:rPr>
          <w:rFonts w:hint="eastAsia" w:ascii="Times New Roman" w:hAnsi="Times New Roman"/>
          <w:sz w:val="28"/>
          <w:szCs w:val="28"/>
          <w:lang w:val="en-US" w:eastAsia="zh-CN"/>
        </w:rPr>
        <w:t>固定总价（含税）：   万元。</w:t>
      </w:r>
    </w:p>
    <w:p w14:paraId="6E8B4E8A">
      <w:pPr>
        <w:spacing w:line="360" w:lineRule="auto"/>
        <w:ind w:firstLine="560" w:firstLineChars="200"/>
        <w:jc w:val="left"/>
        <w:rPr>
          <w:rFonts w:hint="eastAsia" w:ascii="Times New Roman" w:hAnsi="Times New Roman"/>
          <w:sz w:val="28"/>
          <w:szCs w:val="28"/>
          <w:lang w:val="en-US" w:eastAsia="zh-CN"/>
        </w:rPr>
      </w:pPr>
      <w:r>
        <w:rPr>
          <w:rFonts w:hint="eastAsia" w:ascii="Times New Roman" w:hAnsi="Times New Roman"/>
          <w:sz w:val="28"/>
          <w:szCs w:val="28"/>
          <w:lang w:val="en-US" w:eastAsia="zh-CN"/>
        </w:rPr>
        <w:t>备注：污水处理厂运营服务所需水、电、化验药品、物料消耗、设备维修材料由甲方提供，其它包括人工费、人员保险（包含社保、意外险等）及污水处理厂管理由乙方负责。</w:t>
      </w:r>
    </w:p>
    <w:p w14:paraId="41BA1D23">
      <w:pPr>
        <w:spacing w:line="360" w:lineRule="auto"/>
        <w:jc w:val="left"/>
        <w:rPr>
          <w:rFonts w:ascii="Times New Roman" w:hAnsi="Times New Roman"/>
          <w:b/>
          <w:sz w:val="28"/>
          <w:szCs w:val="28"/>
        </w:rPr>
      </w:pPr>
      <w:r>
        <w:rPr>
          <w:rFonts w:hint="eastAsia" w:ascii="Times New Roman" w:hAnsi="Times New Roman"/>
          <w:b/>
          <w:sz w:val="28"/>
          <w:szCs w:val="28"/>
        </w:rPr>
        <w:t>第五条：甲方的权利与义务</w:t>
      </w:r>
    </w:p>
    <w:p w14:paraId="15365FCD">
      <w:pPr>
        <w:pStyle w:val="6"/>
        <w:numPr>
          <w:ilvl w:val="0"/>
          <w:numId w:val="1"/>
        </w:numPr>
        <w:spacing w:line="360" w:lineRule="auto"/>
        <w:ind w:left="0" w:firstLine="560"/>
        <w:jc w:val="left"/>
        <w:rPr>
          <w:rFonts w:ascii="Times New Roman" w:hAnsi="Times New Roman"/>
          <w:sz w:val="28"/>
          <w:szCs w:val="28"/>
        </w:rPr>
      </w:pPr>
      <w:r>
        <w:rPr>
          <w:rFonts w:hint="eastAsia" w:ascii="Times New Roman" w:hAnsi="Times New Roman"/>
          <w:sz w:val="28"/>
          <w:szCs w:val="28"/>
        </w:rPr>
        <w:t>乙方运行管理人员的</w:t>
      </w:r>
      <w:r>
        <w:rPr>
          <w:rFonts w:hint="eastAsia" w:ascii="Times New Roman" w:hAnsi="Times New Roman"/>
          <w:sz w:val="28"/>
          <w:szCs w:val="28"/>
          <w:lang w:val="en-US" w:eastAsia="zh-CN"/>
        </w:rPr>
        <w:t>值班场所</w:t>
      </w:r>
      <w:r>
        <w:rPr>
          <w:rFonts w:hint="eastAsia" w:ascii="Times New Roman" w:hAnsi="Times New Roman"/>
          <w:sz w:val="28"/>
          <w:szCs w:val="28"/>
        </w:rPr>
        <w:t>由甲方免费提供。</w:t>
      </w:r>
    </w:p>
    <w:p w14:paraId="2F2DBC08">
      <w:pPr>
        <w:pStyle w:val="6"/>
        <w:numPr>
          <w:ilvl w:val="0"/>
          <w:numId w:val="1"/>
        </w:numPr>
        <w:spacing w:line="360" w:lineRule="auto"/>
        <w:ind w:left="0" w:firstLine="560"/>
        <w:jc w:val="left"/>
        <w:rPr>
          <w:rFonts w:ascii="Times New Roman" w:hAnsi="Times New Roman"/>
          <w:sz w:val="28"/>
          <w:szCs w:val="28"/>
        </w:rPr>
      </w:pPr>
      <w:r>
        <w:rPr>
          <w:rFonts w:hint="eastAsia" w:ascii="Times New Roman" w:hAnsi="Times New Roman"/>
          <w:sz w:val="28"/>
          <w:szCs w:val="28"/>
        </w:rPr>
        <w:t>甲方负责人</w:t>
      </w:r>
      <w:r>
        <w:rPr>
          <w:rFonts w:hint="eastAsia" w:ascii="Times New Roman" w:hAnsi="Times New Roman"/>
          <w:sz w:val="28"/>
          <w:szCs w:val="28"/>
          <w:lang w:val="en-US" w:eastAsia="zh-CN"/>
        </w:rPr>
        <w:t>有权</w:t>
      </w:r>
      <w:r>
        <w:rPr>
          <w:rFonts w:hint="eastAsia" w:ascii="Times New Roman" w:hAnsi="Times New Roman"/>
          <w:sz w:val="28"/>
          <w:szCs w:val="28"/>
        </w:rPr>
        <w:t>对污水处理厂的管理进行监督，检查废水处理情况。</w:t>
      </w:r>
    </w:p>
    <w:p w14:paraId="47F78A25">
      <w:pPr>
        <w:pStyle w:val="6"/>
        <w:numPr>
          <w:ilvl w:val="0"/>
          <w:numId w:val="1"/>
        </w:numPr>
        <w:spacing w:line="360" w:lineRule="auto"/>
        <w:ind w:left="0" w:firstLine="560"/>
        <w:jc w:val="left"/>
        <w:rPr>
          <w:rFonts w:ascii="Times New Roman" w:hAnsi="Times New Roman"/>
          <w:sz w:val="28"/>
          <w:szCs w:val="28"/>
        </w:rPr>
      </w:pPr>
      <w:r>
        <w:rPr>
          <w:rFonts w:hint="eastAsia" w:ascii="Times New Roman" w:hAnsi="Times New Roman"/>
          <w:sz w:val="28"/>
          <w:szCs w:val="28"/>
        </w:rPr>
        <w:t>对于超出污水处理量</w:t>
      </w:r>
      <w:r>
        <w:rPr>
          <w:rFonts w:hint="eastAsia" w:ascii="Times New Roman" w:hAnsi="Times New Roman"/>
          <w:sz w:val="28"/>
          <w:szCs w:val="28"/>
          <w:lang w:val="en-US" w:eastAsia="zh-CN"/>
        </w:rPr>
        <w:t>及污水进水指标的水量和水质</w:t>
      </w:r>
      <w:r>
        <w:rPr>
          <w:rFonts w:hint="eastAsia" w:ascii="Times New Roman" w:hAnsi="Times New Roman"/>
          <w:sz w:val="28"/>
          <w:szCs w:val="28"/>
        </w:rPr>
        <w:t>由甲乙双方人员现场共同</w:t>
      </w:r>
      <w:r>
        <w:rPr>
          <w:rFonts w:hint="eastAsia" w:ascii="Times New Roman" w:hAnsi="Times New Roman"/>
          <w:sz w:val="28"/>
          <w:szCs w:val="28"/>
          <w:lang w:val="en-US" w:eastAsia="zh-CN"/>
        </w:rPr>
        <w:t>商定，</w:t>
      </w:r>
      <w:r>
        <w:rPr>
          <w:rFonts w:hint="eastAsia" w:ascii="Times New Roman" w:hAnsi="Times New Roman"/>
          <w:sz w:val="28"/>
          <w:szCs w:val="28"/>
        </w:rPr>
        <w:t>鉴定</w:t>
      </w:r>
      <w:r>
        <w:rPr>
          <w:rFonts w:hint="eastAsia" w:ascii="Times New Roman" w:hAnsi="Times New Roman"/>
          <w:sz w:val="28"/>
          <w:szCs w:val="28"/>
          <w:lang w:val="en-US" w:eastAsia="zh-CN"/>
        </w:rPr>
        <w:t>确认</w:t>
      </w:r>
      <w:r>
        <w:rPr>
          <w:rFonts w:hint="eastAsia" w:ascii="Times New Roman" w:hAnsi="Times New Roman"/>
          <w:sz w:val="28"/>
          <w:szCs w:val="28"/>
        </w:rPr>
        <w:t>后签字认可，并协调解决方法。</w:t>
      </w:r>
    </w:p>
    <w:p w14:paraId="4A2E5191">
      <w:pPr>
        <w:pStyle w:val="6"/>
        <w:numPr>
          <w:ilvl w:val="0"/>
          <w:numId w:val="1"/>
        </w:numPr>
        <w:spacing w:line="360" w:lineRule="auto"/>
        <w:ind w:left="0" w:firstLine="560"/>
        <w:jc w:val="left"/>
        <w:rPr>
          <w:rFonts w:ascii="Times New Roman" w:hAnsi="Times New Roman"/>
          <w:sz w:val="28"/>
          <w:szCs w:val="28"/>
        </w:rPr>
      </w:pPr>
      <w:r>
        <w:rPr>
          <w:rFonts w:hint="eastAsia" w:ascii="Times New Roman" w:hAnsi="Times New Roman"/>
          <w:sz w:val="28"/>
          <w:szCs w:val="28"/>
        </w:rPr>
        <w:t>化验室</w:t>
      </w:r>
      <w:r>
        <w:rPr>
          <w:rFonts w:hint="eastAsia" w:ascii="Times New Roman" w:hAnsi="Times New Roman"/>
          <w:sz w:val="28"/>
          <w:szCs w:val="28"/>
          <w:lang w:eastAsia="zh-CN"/>
        </w:rPr>
        <w:t>、</w:t>
      </w:r>
      <w:r>
        <w:rPr>
          <w:rFonts w:hint="eastAsia" w:ascii="Times New Roman" w:hAnsi="Times New Roman"/>
          <w:sz w:val="28"/>
          <w:szCs w:val="28"/>
          <w:lang w:val="en-US" w:eastAsia="zh-CN"/>
        </w:rPr>
        <w:t>运行现场</w:t>
      </w:r>
      <w:r>
        <w:rPr>
          <w:rFonts w:hint="eastAsia" w:ascii="Times New Roman" w:hAnsi="Times New Roman"/>
          <w:sz w:val="28"/>
          <w:szCs w:val="28"/>
        </w:rPr>
        <w:t>所缺药品</w:t>
      </w:r>
      <w:r>
        <w:rPr>
          <w:rFonts w:hint="eastAsia" w:ascii="Times New Roman" w:hAnsi="Times New Roman"/>
          <w:sz w:val="28"/>
          <w:szCs w:val="28"/>
          <w:lang w:val="en-US" w:eastAsia="zh-CN"/>
        </w:rPr>
        <w:t>书面</w:t>
      </w:r>
      <w:r>
        <w:rPr>
          <w:rFonts w:hint="eastAsia" w:ascii="Times New Roman" w:hAnsi="Times New Roman"/>
          <w:sz w:val="28"/>
          <w:szCs w:val="28"/>
        </w:rPr>
        <w:t>通知甲方后，甲方应及时购买。</w:t>
      </w:r>
    </w:p>
    <w:p w14:paraId="5620A19A">
      <w:pPr>
        <w:pStyle w:val="6"/>
        <w:numPr>
          <w:ilvl w:val="0"/>
          <w:numId w:val="1"/>
        </w:numPr>
        <w:spacing w:line="360" w:lineRule="auto"/>
        <w:ind w:left="0" w:firstLine="560"/>
        <w:jc w:val="left"/>
        <w:rPr>
          <w:rFonts w:hint="default" w:ascii="Times New Roman" w:hAnsi="Times New Roman"/>
          <w:sz w:val="28"/>
          <w:szCs w:val="28"/>
          <w:lang w:val="en-US"/>
        </w:rPr>
      </w:pPr>
      <w:r>
        <w:rPr>
          <w:rFonts w:hint="eastAsia" w:ascii="Times New Roman" w:hAnsi="Times New Roman"/>
          <w:sz w:val="28"/>
          <w:szCs w:val="28"/>
          <w:lang w:val="en-US" w:eastAsia="zh-CN"/>
        </w:rPr>
        <w:t>甲方在收到乙方关于</w:t>
      </w:r>
      <w:r>
        <w:rPr>
          <w:rFonts w:hint="eastAsia" w:ascii="Times New Roman" w:hAnsi="Times New Roman"/>
          <w:sz w:val="28"/>
          <w:szCs w:val="28"/>
        </w:rPr>
        <w:t>污水处理厂内设备</w:t>
      </w:r>
      <w:r>
        <w:rPr>
          <w:rFonts w:hint="eastAsia" w:ascii="Times New Roman" w:hAnsi="Times New Roman"/>
          <w:sz w:val="28"/>
          <w:szCs w:val="28"/>
          <w:lang w:val="en-US" w:eastAsia="zh-CN"/>
        </w:rPr>
        <w:t>书维修或更换的通知后</w:t>
      </w:r>
      <w:r>
        <w:rPr>
          <w:rFonts w:hint="eastAsia" w:ascii="Times New Roman" w:hAnsi="Times New Roman"/>
          <w:sz w:val="28"/>
          <w:szCs w:val="28"/>
        </w:rPr>
        <w:t>，</w:t>
      </w:r>
      <w:r>
        <w:rPr>
          <w:rFonts w:hint="eastAsia" w:ascii="Times New Roman" w:hAnsi="Times New Roman"/>
          <w:sz w:val="28"/>
          <w:szCs w:val="28"/>
          <w:lang w:val="en-US" w:eastAsia="zh-CN"/>
        </w:rPr>
        <w:t>应及时采购维修或更换，避免出现环保事故。</w:t>
      </w:r>
    </w:p>
    <w:p w14:paraId="5A692A4D">
      <w:pPr>
        <w:spacing w:line="360" w:lineRule="auto"/>
        <w:jc w:val="left"/>
        <w:rPr>
          <w:rFonts w:ascii="Times New Roman" w:hAnsi="Times New Roman"/>
          <w:b/>
          <w:sz w:val="28"/>
          <w:szCs w:val="28"/>
        </w:rPr>
      </w:pPr>
      <w:r>
        <w:rPr>
          <w:rFonts w:hint="eastAsia" w:ascii="Times New Roman" w:hAnsi="Times New Roman"/>
          <w:b/>
          <w:sz w:val="28"/>
          <w:szCs w:val="28"/>
        </w:rPr>
        <w:t>第六条：乙方的权利与义务</w:t>
      </w:r>
    </w:p>
    <w:p w14:paraId="08167666">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420" w:rightChars="200" w:firstLine="638" w:firstLineChars="228"/>
        <w:jc w:val="left"/>
        <w:textAlignment w:val="auto"/>
        <w:rPr>
          <w:rFonts w:ascii="Times New Roman" w:hAnsi="Times New Roman"/>
          <w:sz w:val="28"/>
          <w:szCs w:val="28"/>
        </w:rPr>
      </w:pPr>
      <w:r>
        <w:rPr>
          <w:rFonts w:hint="eastAsia" w:ascii="Times New Roman" w:hAnsi="Times New Roman"/>
          <w:sz w:val="28"/>
          <w:szCs w:val="28"/>
          <w:lang w:val="en-US" w:eastAsia="zh-CN"/>
        </w:rPr>
        <w:t>1.</w:t>
      </w:r>
      <w:r>
        <w:rPr>
          <w:rFonts w:hint="eastAsia" w:ascii="Times New Roman" w:hAnsi="Times New Roman"/>
          <w:sz w:val="28"/>
          <w:szCs w:val="28"/>
        </w:rPr>
        <w:t>在污水处理厂能够处理的最大水量</w:t>
      </w:r>
      <w:r>
        <w:rPr>
          <w:rFonts w:hint="eastAsia" w:ascii="Times New Roman" w:hAnsi="Times New Roman"/>
          <w:sz w:val="28"/>
          <w:szCs w:val="28"/>
          <w:lang w:eastAsia="zh-CN"/>
        </w:rPr>
        <w:t>、</w:t>
      </w:r>
      <w:r>
        <w:rPr>
          <w:rFonts w:hint="eastAsia" w:ascii="Times New Roman" w:hAnsi="Times New Roman"/>
          <w:sz w:val="28"/>
          <w:szCs w:val="28"/>
          <w:lang w:val="en-US" w:eastAsia="zh-CN"/>
        </w:rPr>
        <w:t>及水质</w:t>
      </w:r>
      <w:r>
        <w:rPr>
          <w:rFonts w:hint="eastAsia" w:ascii="Times New Roman" w:hAnsi="Times New Roman"/>
          <w:sz w:val="28"/>
          <w:szCs w:val="28"/>
        </w:rPr>
        <w:t>范围之内保证对</w:t>
      </w:r>
      <w:r>
        <w:rPr>
          <w:rFonts w:hint="eastAsia" w:ascii="Times New Roman" w:hAnsi="Times New Roman"/>
          <w:sz w:val="28"/>
          <w:szCs w:val="28"/>
          <w:lang w:val="en-US" w:eastAsia="zh-CN"/>
        </w:rPr>
        <w:t>污水处理厂应</w:t>
      </w:r>
      <w:r>
        <w:rPr>
          <w:rFonts w:hint="eastAsia" w:ascii="Times New Roman" w:hAnsi="Times New Roman"/>
          <w:sz w:val="28"/>
          <w:szCs w:val="28"/>
        </w:rPr>
        <w:t>接纳</w:t>
      </w:r>
      <w:r>
        <w:rPr>
          <w:rFonts w:hint="eastAsia" w:ascii="Times New Roman" w:hAnsi="Times New Roman"/>
          <w:sz w:val="28"/>
          <w:szCs w:val="28"/>
          <w:lang w:val="en-US" w:eastAsia="zh-CN"/>
        </w:rPr>
        <w:t>范围</w:t>
      </w:r>
      <w:r>
        <w:rPr>
          <w:rFonts w:hint="eastAsia" w:ascii="Times New Roman" w:hAnsi="Times New Roman"/>
          <w:sz w:val="28"/>
          <w:szCs w:val="28"/>
        </w:rPr>
        <w:t>的污水的正常处理，使其达标排放。</w:t>
      </w:r>
    </w:p>
    <w:p w14:paraId="4DAADC69">
      <w:pPr>
        <w:pStyle w:val="6"/>
        <w:numPr>
          <w:ilvl w:val="0"/>
          <w:numId w:val="0"/>
        </w:numPr>
        <w:spacing w:line="360" w:lineRule="auto"/>
        <w:ind w:left="420" w:leftChars="200" w:firstLine="218" w:firstLineChars="78"/>
        <w:jc w:val="left"/>
        <w:rPr>
          <w:rFonts w:ascii="Times New Roman" w:hAnsi="Times New Roman"/>
          <w:sz w:val="28"/>
          <w:szCs w:val="28"/>
        </w:rPr>
      </w:pPr>
      <w:r>
        <w:rPr>
          <w:rFonts w:hint="eastAsia" w:ascii="Times New Roman" w:hAnsi="Times New Roman"/>
          <w:sz w:val="28"/>
          <w:szCs w:val="28"/>
          <w:lang w:val="en-US" w:eastAsia="zh-CN"/>
        </w:rPr>
        <w:t>2.</w:t>
      </w:r>
      <w:r>
        <w:rPr>
          <w:rFonts w:hint="eastAsia" w:ascii="Times New Roman" w:hAnsi="Times New Roman"/>
          <w:sz w:val="28"/>
          <w:szCs w:val="28"/>
        </w:rPr>
        <w:t>对日常操作及水质的化验结果作好记录。</w:t>
      </w:r>
    </w:p>
    <w:p w14:paraId="11A0FBF8">
      <w:pPr>
        <w:pStyle w:val="6"/>
        <w:numPr>
          <w:ilvl w:val="0"/>
          <w:numId w:val="0"/>
        </w:numPr>
        <w:spacing w:line="360" w:lineRule="auto"/>
        <w:ind w:left="420" w:leftChars="200" w:firstLine="218" w:firstLineChars="78"/>
        <w:jc w:val="left"/>
        <w:rPr>
          <w:rFonts w:ascii="Times New Roman" w:hAnsi="Times New Roman"/>
          <w:sz w:val="28"/>
          <w:szCs w:val="28"/>
        </w:rPr>
      </w:pPr>
      <w:r>
        <w:rPr>
          <w:rFonts w:hint="eastAsia" w:ascii="Times New Roman" w:hAnsi="Times New Roman"/>
          <w:sz w:val="28"/>
          <w:szCs w:val="28"/>
          <w:lang w:val="en-US" w:eastAsia="zh-CN"/>
        </w:rPr>
        <w:t>3.</w:t>
      </w:r>
      <w:r>
        <w:rPr>
          <w:rFonts w:hint="eastAsia" w:ascii="Times New Roman" w:hAnsi="Times New Roman"/>
          <w:sz w:val="28"/>
          <w:szCs w:val="28"/>
        </w:rPr>
        <w:t>对设备定期进行维护保养并做好记录。</w:t>
      </w:r>
    </w:p>
    <w:p w14:paraId="5ADB4310">
      <w:pPr>
        <w:pStyle w:val="6"/>
        <w:numPr>
          <w:ilvl w:val="0"/>
          <w:numId w:val="0"/>
        </w:numPr>
        <w:spacing w:line="360" w:lineRule="auto"/>
        <w:ind w:left="0" w:leftChars="0" w:firstLine="638" w:firstLineChars="228"/>
        <w:jc w:val="left"/>
        <w:rPr>
          <w:rFonts w:ascii="Times New Roman" w:hAnsi="Times New Roman"/>
          <w:sz w:val="28"/>
          <w:szCs w:val="28"/>
        </w:rPr>
      </w:pPr>
      <w:r>
        <w:rPr>
          <w:rFonts w:hint="eastAsia" w:ascii="Times New Roman" w:hAnsi="Times New Roman"/>
          <w:sz w:val="28"/>
          <w:szCs w:val="28"/>
          <w:lang w:val="en-US" w:eastAsia="zh-CN"/>
        </w:rPr>
        <w:t>4.</w:t>
      </w:r>
      <w:r>
        <w:rPr>
          <w:rFonts w:hint="eastAsia" w:ascii="Times New Roman" w:hAnsi="Times New Roman"/>
          <w:sz w:val="28"/>
          <w:szCs w:val="28"/>
        </w:rPr>
        <w:t>配合甲方</w:t>
      </w:r>
      <w:r>
        <w:rPr>
          <w:rFonts w:hint="eastAsia" w:ascii="Times New Roman" w:hAnsi="Times New Roman"/>
          <w:sz w:val="28"/>
          <w:szCs w:val="28"/>
          <w:lang w:val="en-US" w:eastAsia="zh-CN"/>
        </w:rPr>
        <w:t>做好上级政府、环保、安全等部门对</w:t>
      </w:r>
      <w:r>
        <w:rPr>
          <w:rFonts w:hint="eastAsia" w:ascii="Times New Roman" w:hAnsi="Times New Roman"/>
          <w:sz w:val="28"/>
          <w:szCs w:val="28"/>
        </w:rPr>
        <w:t>污水处理</w:t>
      </w:r>
      <w:r>
        <w:rPr>
          <w:rFonts w:hint="eastAsia" w:ascii="Times New Roman" w:hAnsi="Times New Roman"/>
          <w:sz w:val="28"/>
          <w:szCs w:val="28"/>
          <w:lang w:val="en-US" w:eastAsia="zh-CN"/>
        </w:rPr>
        <w:t>厂</w:t>
      </w:r>
      <w:r>
        <w:rPr>
          <w:rFonts w:hint="eastAsia" w:ascii="Times New Roman" w:hAnsi="Times New Roman"/>
          <w:sz w:val="28"/>
          <w:szCs w:val="28"/>
        </w:rPr>
        <w:t>的各项检查工作。</w:t>
      </w:r>
    </w:p>
    <w:p w14:paraId="581165E9">
      <w:pPr>
        <w:pStyle w:val="6"/>
        <w:numPr>
          <w:ilvl w:val="0"/>
          <w:numId w:val="0"/>
        </w:numPr>
        <w:spacing w:line="360" w:lineRule="auto"/>
        <w:ind w:left="0" w:leftChars="0" w:firstLine="638" w:firstLineChars="228"/>
        <w:jc w:val="left"/>
        <w:rPr>
          <w:rFonts w:ascii="Times New Roman" w:hAnsi="Times New Roman"/>
          <w:sz w:val="28"/>
          <w:szCs w:val="28"/>
        </w:rPr>
      </w:pPr>
      <w:r>
        <w:rPr>
          <w:rFonts w:hint="eastAsia" w:ascii="Times New Roman" w:hAnsi="Times New Roman"/>
          <w:sz w:val="28"/>
          <w:szCs w:val="28"/>
          <w:lang w:val="en-US" w:eastAsia="zh-CN"/>
        </w:rPr>
        <w:t>5.</w:t>
      </w:r>
      <w:r>
        <w:rPr>
          <w:rFonts w:hint="eastAsia" w:ascii="Times New Roman" w:hAnsi="Times New Roman"/>
          <w:sz w:val="28"/>
          <w:szCs w:val="28"/>
        </w:rPr>
        <w:t>如发现化验药品短缺，乙方应提前一个星期以书面方式通知甲方。</w:t>
      </w:r>
    </w:p>
    <w:p w14:paraId="3AEDA545">
      <w:pPr>
        <w:pStyle w:val="6"/>
        <w:numPr>
          <w:ilvl w:val="0"/>
          <w:numId w:val="0"/>
        </w:numPr>
        <w:spacing w:line="360" w:lineRule="auto"/>
        <w:ind w:left="0" w:leftChars="0" w:firstLine="638" w:firstLineChars="228"/>
        <w:jc w:val="left"/>
        <w:rPr>
          <w:rFonts w:ascii="Times New Roman" w:hAnsi="Times New Roman"/>
          <w:sz w:val="28"/>
          <w:szCs w:val="28"/>
        </w:rPr>
      </w:pPr>
      <w:r>
        <w:rPr>
          <w:rFonts w:hint="eastAsia" w:ascii="Times New Roman" w:hAnsi="Times New Roman"/>
          <w:sz w:val="28"/>
          <w:szCs w:val="28"/>
          <w:lang w:val="en-US" w:eastAsia="zh-CN"/>
        </w:rPr>
        <w:t>6.日常报表的填写及上报，包括4.2系统标记、固废危废系统、排污许可证报表填写、环境统计上报、在线监测系统的填写包括但不限于以上报表，根据实际情况及上级部门要求，临时报表的填写。</w:t>
      </w:r>
    </w:p>
    <w:p w14:paraId="67D1EF17">
      <w:pPr>
        <w:pStyle w:val="6"/>
        <w:numPr>
          <w:ilvl w:val="0"/>
          <w:numId w:val="0"/>
        </w:numPr>
        <w:spacing w:line="360" w:lineRule="auto"/>
        <w:ind w:left="0" w:leftChars="0" w:firstLine="638" w:firstLineChars="228"/>
        <w:jc w:val="left"/>
        <w:rPr>
          <w:rFonts w:ascii="Times New Roman" w:hAnsi="Times New Roman"/>
          <w:sz w:val="28"/>
          <w:szCs w:val="28"/>
        </w:rPr>
      </w:pPr>
      <w:r>
        <w:rPr>
          <w:rFonts w:hint="eastAsia" w:ascii="Times New Roman" w:hAnsi="Times New Roman"/>
          <w:sz w:val="28"/>
          <w:szCs w:val="28"/>
          <w:lang w:val="en-US" w:eastAsia="zh-CN"/>
        </w:rPr>
        <w:t>7.</w:t>
      </w:r>
      <w:r>
        <w:rPr>
          <w:rFonts w:hint="eastAsia" w:ascii="Times New Roman" w:hAnsi="Times New Roman"/>
          <w:sz w:val="28"/>
          <w:szCs w:val="28"/>
        </w:rPr>
        <w:t>污水处理厂内一切设备</w:t>
      </w:r>
      <w:r>
        <w:rPr>
          <w:rFonts w:hint="eastAsia" w:ascii="Times New Roman" w:hAnsi="Times New Roman"/>
          <w:sz w:val="28"/>
          <w:szCs w:val="28"/>
          <w:lang w:val="en-US" w:eastAsia="zh-CN"/>
        </w:rPr>
        <w:t>如出现故障需维修或更换，乙方需24小时内书面通知甲方。</w:t>
      </w:r>
    </w:p>
    <w:p w14:paraId="5FF802D5">
      <w:pPr>
        <w:spacing w:line="360" w:lineRule="auto"/>
        <w:jc w:val="left"/>
        <w:rPr>
          <w:rFonts w:ascii="Times New Roman" w:hAnsi="Times New Roman"/>
          <w:b/>
          <w:sz w:val="28"/>
          <w:szCs w:val="28"/>
        </w:rPr>
      </w:pPr>
      <w:r>
        <w:rPr>
          <w:rFonts w:hint="eastAsia" w:ascii="Times New Roman" w:hAnsi="Times New Roman"/>
          <w:b/>
          <w:sz w:val="28"/>
          <w:szCs w:val="28"/>
        </w:rPr>
        <w:t>第七条：付款方式</w:t>
      </w:r>
    </w:p>
    <w:p w14:paraId="31A8DD05">
      <w:pPr>
        <w:spacing w:line="360" w:lineRule="auto"/>
        <w:ind w:firstLine="560" w:firstLineChars="200"/>
        <w:jc w:val="left"/>
        <w:rPr>
          <w:rFonts w:ascii="Times New Roman" w:hAnsi="Times New Roman"/>
          <w:sz w:val="28"/>
          <w:szCs w:val="28"/>
        </w:rPr>
      </w:pPr>
      <w:r>
        <w:rPr>
          <w:rFonts w:hint="eastAsia" w:ascii="Times New Roman" w:hAnsi="Times New Roman"/>
          <w:sz w:val="28"/>
          <w:szCs w:val="28"/>
          <w:lang w:val="en-US" w:eastAsia="zh-CN"/>
        </w:rPr>
        <w:t>乙方按照考核结果向甲方提供发票，甲方完成内部财务审批流程后，一次性付清考核确认的运维费用</w:t>
      </w:r>
      <w:r>
        <w:rPr>
          <w:rFonts w:hint="eastAsia" w:ascii="Times New Roman" w:hAnsi="Times New Roman"/>
          <w:sz w:val="28"/>
          <w:szCs w:val="28"/>
        </w:rPr>
        <w:t>。</w:t>
      </w:r>
    </w:p>
    <w:p w14:paraId="4A3DA77D">
      <w:pPr>
        <w:spacing w:line="360" w:lineRule="auto"/>
        <w:jc w:val="left"/>
        <w:rPr>
          <w:rFonts w:ascii="Times New Roman" w:hAnsi="Times New Roman"/>
          <w:b/>
          <w:sz w:val="28"/>
          <w:szCs w:val="28"/>
        </w:rPr>
      </w:pPr>
      <w:r>
        <w:rPr>
          <w:rFonts w:hint="eastAsia" w:ascii="Times New Roman" w:hAnsi="Times New Roman"/>
          <w:b/>
          <w:sz w:val="28"/>
          <w:szCs w:val="28"/>
        </w:rPr>
        <w:t>第八条：违约责任</w:t>
      </w:r>
    </w:p>
    <w:p w14:paraId="288C148D">
      <w:pPr>
        <w:pStyle w:val="6"/>
        <w:numPr>
          <w:ilvl w:val="0"/>
          <w:numId w:val="2"/>
        </w:numPr>
        <w:spacing w:line="360" w:lineRule="auto"/>
        <w:ind w:left="0" w:firstLine="560"/>
        <w:jc w:val="left"/>
        <w:rPr>
          <w:rFonts w:ascii="Times New Roman" w:hAnsi="Times New Roman"/>
          <w:sz w:val="28"/>
          <w:szCs w:val="28"/>
        </w:rPr>
      </w:pPr>
      <w:r>
        <w:rPr>
          <w:rFonts w:hint="eastAsia" w:ascii="Times New Roman" w:hAnsi="Times New Roman"/>
          <w:sz w:val="28"/>
          <w:szCs w:val="28"/>
          <w:lang w:val="en-US" w:eastAsia="zh-CN"/>
        </w:rPr>
        <w:t>如乙方责任导致</w:t>
      </w:r>
      <w:r>
        <w:rPr>
          <w:rFonts w:hint="eastAsia" w:ascii="Times New Roman" w:hAnsi="Times New Roman"/>
          <w:sz w:val="28"/>
          <w:szCs w:val="28"/>
        </w:rPr>
        <w:t>污水超标排放给甲方造成的经济损失由乙方负责赔偿。</w:t>
      </w:r>
    </w:p>
    <w:p w14:paraId="682865F6">
      <w:pPr>
        <w:pStyle w:val="6"/>
        <w:numPr>
          <w:ilvl w:val="0"/>
          <w:numId w:val="2"/>
        </w:numPr>
        <w:spacing w:line="360" w:lineRule="auto"/>
        <w:ind w:left="0" w:firstLine="560"/>
        <w:jc w:val="left"/>
        <w:rPr>
          <w:rFonts w:ascii="Times New Roman" w:hAnsi="Times New Roman"/>
          <w:sz w:val="28"/>
          <w:szCs w:val="28"/>
        </w:rPr>
      </w:pPr>
      <w:r>
        <w:rPr>
          <w:rFonts w:hint="eastAsia" w:ascii="Times New Roman" w:hAnsi="Times New Roman"/>
          <w:sz w:val="28"/>
          <w:szCs w:val="28"/>
        </w:rPr>
        <w:t>在污水运营过程中，甲方工作人员如发现乙方人员不按操作规程操作，</w:t>
      </w:r>
      <w:r>
        <w:rPr>
          <w:rFonts w:hint="eastAsia" w:ascii="Times New Roman" w:hAnsi="Times New Roman"/>
          <w:sz w:val="28"/>
          <w:szCs w:val="28"/>
          <w:lang w:val="en-US" w:eastAsia="zh-CN"/>
        </w:rPr>
        <w:t>有权利制止。</w:t>
      </w:r>
      <w:r>
        <w:rPr>
          <w:rFonts w:hint="eastAsia" w:ascii="Times New Roman" w:hAnsi="Times New Roman"/>
          <w:sz w:val="28"/>
          <w:szCs w:val="28"/>
        </w:rPr>
        <w:t>并</w:t>
      </w:r>
      <w:r>
        <w:rPr>
          <w:rFonts w:hint="eastAsia" w:ascii="Times New Roman" w:hAnsi="Times New Roman"/>
          <w:sz w:val="28"/>
          <w:szCs w:val="28"/>
          <w:lang w:val="en-US" w:eastAsia="zh-CN"/>
        </w:rPr>
        <w:t>因此造成</w:t>
      </w:r>
      <w:r>
        <w:rPr>
          <w:rFonts w:hint="eastAsia" w:ascii="Times New Roman" w:hAnsi="Times New Roman"/>
          <w:sz w:val="28"/>
          <w:szCs w:val="28"/>
        </w:rPr>
        <w:t>水质超标而造成的一切后果由乙方负责。</w:t>
      </w:r>
    </w:p>
    <w:p w14:paraId="0A7C6C9A">
      <w:pPr>
        <w:ind w:firstLine="562" w:firstLineChars="200"/>
        <w:rPr>
          <w:rFonts w:ascii="Times New Roman" w:hAnsi="Times New Roman"/>
          <w:b/>
          <w:sz w:val="28"/>
          <w:szCs w:val="28"/>
        </w:rPr>
      </w:pPr>
      <w:r>
        <w:rPr>
          <w:rFonts w:ascii="Times New Roman" w:hAnsi="Times New Roman"/>
          <w:b/>
          <w:sz w:val="28"/>
          <w:szCs w:val="28"/>
        </w:rPr>
        <w:t>第九条</w:t>
      </w:r>
      <w:r>
        <w:rPr>
          <w:rFonts w:hint="eastAsia" w:ascii="Times New Roman" w:hAnsi="Times New Roman"/>
          <w:b/>
          <w:sz w:val="28"/>
          <w:szCs w:val="28"/>
        </w:rPr>
        <w:t>：</w:t>
      </w:r>
      <w:r>
        <w:rPr>
          <w:rFonts w:ascii="Times New Roman" w:hAnsi="Times New Roman"/>
          <w:b/>
          <w:sz w:val="28"/>
          <w:szCs w:val="28"/>
        </w:rPr>
        <w:t>争议解决</w:t>
      </w:r>
    </w:p>
    <w:p w14:paraId="1C70AA9A">
      <w:pPr>
        <w:ind w:firstLine="560" w:firstLineChars="200"/>
        <w:rPr>
          <w:rFonts w:hint="eastAsia" w:ascii="Times New Roman" w:hAnsi="Times New Roman" w:eastAsia="宋体"/>
          <w:sz w:val="28"/>
          <w:szCs w:val="28"/>
          <w:lang w:eastAsia="zh-CN"/>
        </w:rPr>
      </w:pPr>
      <w:r>
        <w:rPr>
          <w:rFonts w:ascii="Times New Roman" w:hAnsi="Times New Roman"/>
          <w:sz w:val="28"/>
          <w:szCs w:val="28"/>
        </w:rPr>
        <w:t>甲乙双方如由于本</w:t>
      </w:r>
      <w:r>
        <w:rPr>
          <w:rFonts w:hint="eastAsia" w:ascii="Times New Roman" w:hAnsi="Times New Roman"/>
          <w:sz w:val="28"/>
          <w:szCs w:val="28"/>
        </w:rPr>
        <w:t>合同</w:t>
      </w:r>
      <w:r>
        <w:rPr>
          <w:rFonts w:ascii="Times New Roman" w:hAnsi="Times New Roman"/>
          <w:sz w:val="28"/>
          <w:szCs w:val="28"/>
        </w:rPr>
        <w:t>产生争议，甲乙双方应及时协商解决。协商不成时，可向</w:t>
      </w:r>
      <w:r>
        <w:rPr>
          <w:rFonts w:hint="eastAsia" w:ascii="Times New Roman" w:hAnsi="Times New Roman"/>
          <w:sz w:val="28"/>
          <w:szCs w:val="28"/>
          <w:lang w:val="en-US" w:eastAsia="zh-CN"/>
        </w:rPr>
        <w:t>项目</w:t>
      </w:r>
      <w:r>
        <w:rPr>
          <w:rFonts w:ascii="Times New Roman" w:hAnsi="Times New Roman"/>
          <w:sz w:val="28"/>
          <w:szCs w:val="28"/>
        </w:rPr>
        <w:t>所在地人民法院起诉</w:t>
      </w:r>
      <w:r>
        <w:rPr>
          <w:rFonts w:hint="eastAsia" w:ascii="Times New Roman" w:hAnsi="Times New Roman"/>
          <w:sz w:val="28"/>
          <w:szCs w:val="28"/>
          <w:lang w:eastAsia="zh-CN"/>
        </w:rPr>
        <w:t>。</w:t>
      </w:r>
    </w:p>
    <w:p w14:paraId="49998D69">
      <w:pPr>
        <w:ind w:firstLine="562" w:firstLineChars="200"/>
        <w:rPr>
          <w:rFonts w:ascii="Times New Roman" w:hAnsi="Times New Roman"/>
          <w:b/>
          <w:sz w:val="28"/>
          <w:szCs w:val="28"/>
        </w:rPr>
      </w:pPr>
      <w:r>
        <w:rPr>
          <w:rFonts w:ascii="Times New Roman" w:hAnsi="Times New Roman"/>
          <w:b/>
          <w:sz w:val="28"/>
          <w:szCs w:val="28"/>
        </w:rPr>
        <w:t>第十条：附则</w:t>
      </w:r>
    </w:p>
    <w:p w14:paraId="658BAA87">
      <w:pPr>
        <w:ind w:firstLine="560" w:firstLineChars="200"/>
        <w:rPr>
          <w:rFonts w:ascii="Times New Roman" w:hAnsi="Times New Roman"/>
          <w:sz w:val="28"/>
          <w:szCs w:val="28"/>
        </w:rPr>
      </w:pPr>
      <w:r>
        <w:rPr>
          <w:rFonts w:ascii="Times New Roman" w:hAnsi="Times New Roman"/>
          <w:sz w:val="28"/>
          <w:szCs w:val="28"/>
        </w:rPr>
        <w:t>1、未尽事宜，经双方协商一致，签订补充协议，补充协议与本合同书具有同等效力。</w:t>
      </w:r>
    </w:p>
    <w:p w14:paraId="31C8FBD9">
      <w:pPr>
        <w:spacing w:line="360" w:lineRule="auto"/>
        <w:ind w:firstLine="560" w:firstLineChars="200"/>
        <w:jc w:val="left"/>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、本合同一式肆份</w:t>
      </w:r>
      <w:r>
        <w:rPr>
          <w:rFonts w:hint="eastAsia" w:ascii="Times New Roman" w:hAnsi="Times New Roman"/>
          <w:sz w:val="28"/>
          <w:szCs w:val="28"/>
        </w:rPr>
        <w:t>，</w:t>
      </w:r>
      <w:r>
        <w:rPr>
          <w:rFonts w:ascii="Times New Roman" w:hAnsi="Times New Roman"/>
          <w:sz w:val="28"/>
          <w:szCs w:val="28"/>
        </w:rPr>
        <w:t>双方各执贰份，具同等法律效力，双方签字后生效，</w:t>
      </w:r>
      <w:r>
        <w:rPr>
          <w:rFonts w:hint="eastAsia" w:ascii="Times New Roman" w:hAnsi="Times New Roman"/>
          <w:sz w:val="28"/>
          <w:szCs w:val="28"/>
        </w:rPr>
        <w:t>到运营承包期满和结清项目款之日失效。</w:t>
      </w:r>
    </w:p>
    <w:p w14:paraId="6E90B571">
      <w:pPr>
        <w:ind w:firstLine="560" w:firstLineChars="200"/>
        <w:rPr>
          <w:rFonts w:ascii="Times New Roman" w:hAnsi="Times New Roman"/>
          <w:sz w:val="28"/>
          <w:szCs w:val="28"/>
        </w:rPr>
      </w:pPr>
    </w:p>
    <w:tbl>
      <w:tblPr>
        <w:tblStyle w:val="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6"/>
        <w:gridCol w:w="4364"/>
      </w:tblGrid>
      <w:tr w14:paraId="44E6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6" w:type="pct"/>
            <w:noWrap w:val="0"/>
            <w:vAlign w:val="center"/>
          </w:tcPr>
          <w:p w14:paraId="73A449AE">
            <w:pPr>
              <w:spacing w:line="240" w:lineRule="atLeast"/>
              <w:rPr>
                <w:b/>
                <w:bCs/>
                <w:sz w:val="24"/>
                <w:szCs w:val="21"/>
              </w:rPr>
            </w:pPr>
            <w:r>
              <w:rPr>
                <w:b/>
                <w:color w:val="000000"/>
                <w:sz w:val="24"/>
                <w:szCs w:val="21"/>
              </w:rPr>
              <w:t>甲方（盖章）：</w:t>
            </w:r>
          </w:p>
        </w:tc>
        <w:tc>
          <w:tcPr>
            <w:tcW w:w="2564" w:type="pct"/>
            <w:noWrap w:val="0"/>
            <w:vAlign w:val="center"/>
          </w:tcPr>
          <w:p w14:paraId="5BC84084">
            <w:pPr>
              <w:rPr>
                <w:rFonts w:hAnsi="宋体"/>
                <w:b/>
                <w:bCs/>
                <w:sz w:val="24"/>
                <w:szCs w:val="21"/>
              </w:rPr>
            </w:pPr>
            <w:r>
              <w:rPr>
                <w:rFonts w:hint="eastAsia"/>
                <w:b/>
                <w:color w:val="000000"/>
                <w:sz w:val="24"/>
                <w:szCs w:val="21"/>
              </w:rPr>
              <w:t>乙方</w:t>
            </w:r>
            <w:r>
              <w:rPr>
                <w:b/>
                <w:color w:val="000000"/>
                <w:sz w:val="24"/>
                <w:szCs w:val="21"/>
              </w:rPr>
              <w:t>（盖章）：</w:t>
            </w:r>
          </w:p>
        </w:tc>
      </w:tr>
      <w:tr w14:paraId="3FAF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1988547F">
            <w:pPr>
              <w:spacing w:line="240" w:lineRule="atLeast"/>
              <w:rPr>
                <w:rFonts w:hAnsi="宋体"/>
                <w:bCs/>
                <w:sz w:val="24"/>
                <w:szCs w:val="21"/>
              </w:rPr>
            </w:pPr>
            <w:r>
              <w:rPr>
                <w:rFonts w:hAnsi="宋体"/>
                <w:bCs/>
                <w:sz w:val="24"/>
                <w:szCs w:val="21"/>
              </w:rPr>
              <w:t>地址：</w:t>
            </w:r>
          </w:p>
        </w:tc>
        <w:tc>
          <w:tcPr>
            <w:tcW w:w="2564" w:type="pct"/>
            <w:noWrap w:val="0"/>
            <w:vAlign w:val="center"/>
          </w:tcPr>
          <w:p w14:paraId="2F7BE5C1">
            <w:pPr>
              <w:rPr>
                <w:rFonts w:hAnsi="宋体"/>
                <w:bCs/>
                <w:sz w:val="24"/>
                <w:szCs w:val="21"/>
              </w:rPr>
            </w:pPr>
            <w:r>
              <w:rPr>
                <w:rFonts w:hAnsi="宋体"/>
                <w:bCs/>
                <w:sz w:val="24"/>
                <w:szCs w:val="21"/>
              </w:rPr>
              <w:t>地址：</w:t>
            </w:r>
          </w:p>
        </w:tc>
      </w:tr>
      <w:tr w14:paraId="786D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241AC491">
            <w:pPr>
              <w:spacing w:line="240" w:lineRule="atLeast"/>
              <w:rPr>
                <w:bCs/>
                <w:sz w:val="24"/>
                <w:szCs w:val="21"/>
              </w:rPr>
            </w:pPr>
            <w:r>
              <w:rPr>
                <w:rFonts w:hAnsi="宋体"/>
                <w:bCs/>
                <w:sz w:val="24"/>
                <w:szCs w:val="21"/>
              </w:rPr>
              <w:t>法定代表人：</w:t>
            </w:r>
          </w:p>
        </w:tc>
        <w:tc>
          <w:tcPr>
            <w:tcW w:w="2564" w:type="pct"/>
            <w:noWrap w:val="0"/>
            <w:vAlign w:val="center"/>
          </w:tcPr>
          <w:p w14:paraId="2A58D3B3">
            <w:pPr>
              <w:rPr>
                <w:rFonts w:hAnsi="宋体"/>
                <w:bCs/>
                <w:sz w:val="24"/>
                <w:szCs w:val="21"/>
              </w:rPr>
            </w:pPr>
            <w:r>
              <w:rPr>
                <w:rFonts w:hAnsi="宋体"/>
                <w:bCs/>
                <w:sz w:val="24"/>
                <w:szCs w:val="21"/>
              </w:rPr>
              <w:t>法定代表人：</w:t>
            </w:r>
          </w:p>
        </w:tc>
      </w:tr>
      <w:tr w14:paraId="47D4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3FA840F0">
            <w:pPr>
              <w:spacing w:line="240" w:lineRule="atLeast"/>
              <w:rPr>
                <w:bCs/>
                <w:sz w:val="24"/>
                <w:szCs w:val="21"/>
              </w:rPr>
            </w:pPr>
            <w:r>
              <w:rPr>
                <w:rFonts w:hAnsi="宋体"/>
                <w:bCs/>
                <w:sz w:val="24"/>
                <w:szCs w:val="21"/>
              </w:rPr>
              <w:t>委托代理人：</w:t>
            </w:r>
          </w:p>
        </w:tc>
        <w:tc>
          <w:tcPr>
            <w:tcW w:w="2564" w:type="pct"/>
            <w:noWrap w:val="0"/>
            <w:vAlign w:val="center"/>
          </w:tcPr>
          <w:p w14:paraId="56554020">
            <w:pPr>
              <w:rPr>
                <w:rFonts w:hAnsi="宋体"/>
                <w:bCs/>
                <w:sz w:val="24"/>
                <w:szCs w:val="21"/>
              </w:rPr>
            </w:pPr>
            <w:r>
              <w:rPr>
                <w:rFonts w:hAnsi="宋体"/>
                <w:bCs/>
                <w:sz w:val="24"/>
                <w:szCs w:val="21"/>
              </w:rPr>
              <w:t>委托代理人：</w:t>
            </w:r>
          </w:p>
        </w:tc>
      </w:tr>
      <w:tr w14:paraId="45CF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573B0ECD">
            <w:pPr>
              <w:tabs>
                <w:tab w:val="left" w:pos="1965"/>
              </w:tabs>
              <w:spacing w:line="240" w:lineRule="atLeast"/>
              <w:rPr>
                <w:bCs/>
                <w:sz w:val="24"/>
                <w:szCs w:val="21"/>
              </w:rPr>
            </w:pPr>
            <w:r>
              <w:rPr>
                <w:rFonts w:hAnsi="宋体"/>
                <w:bCs/>
                <w:sz w:val="24"/>
                <w:szCs w:val="21"/>
              </w:rPr>
              <w:t>电</w:t>
            </w:r>
            <w:r>
              <w:rPr>
                <w:bCs/>
                <w:sz w:val="24"/>
                <w:szCs w:val="21"/>
              </w:rPr>
              <w:t xml:space="preserve">    </w:t>
            </w:r>
            <w:r>
              <w:rPr>
                <w:rFonts w:hAnsi="宋体"/>
                <w:bCs/>
                <w:sz w:val="24"/>
                <w:szCs w:val="21"/>
              </w:rPr>
              <w:t>话：</w:t>
            </w:r>
          </w:p>
        </w:tc>
        <w:tc>
          <w:tcPr>
            <w:tcW w:w="2564" w:type="pct"/>
            <w:noWrap w:val="0"/>
            <w:vAlign w:val="center"/>
          </w:tcPr>
          <w:p w14:paraId="21C8AA0B">
            <w:pPr>
              <w:rPr>
                <w:rFonts w:hAnsi="宋体"/>
                <w:bCs/>
                <w:sz w:val="24"/>
                <w:szCs w:val="21"/>
              </w:rPr>
            </w:pPr>
            <w:r>
              <w:rPr>
                <w:rFonts w:hAnsi="宋体"/>
                <w:bCs/>
                <w:sz w:val="24"/>
                <w:szCs w:val="21"/>
              </w:rPr>
              <w:t>电</w:t>
            </w:r>
            <w:r>
              <w:rPr>
                <w:bCs/>
                <w:sz w:val="24"/>
                <w:szCs w:val="21"/>
              </w:rPr>
              <w:t xml:space="preserve">    </w:t>
            </w:r>
            <w:r>
              <w:rPr>
                <w:rFonts w:hAnsi="宋体"/>
                <w:bCs/>
                <w:sz w:val="24"/>
                <w:szCs w:val="21"/>
              </w:rPr>
              <w:t>话：</w:t>
            </w:r>
          </w:p>
        </w:tc>
      </w:tr>
      <w:tr w14:paraId="1E11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73AAE829">
            <w:pPr>
              <w:tabs>
                <w:tab w:val="left" w:pos="1965"/>
              </w:tabs>
              <w:spacing w:line="240" w:lineRule="atLeast"/>
              <w:rPr>
                <w:bCs/>
                <w:sz w:val="24"/>
                <w:szCs w:val="21"/>
              </w:rPr>
            </w:pPr>
            <w:r>
              <w:rPr>
                <w:rFonts w:hAnsi="宋体"/>
                <w:bCs/>
                <w:sz w:val="24"/>
                <w:szCs w:val="21"/>
              </w:rPr>
              <w:t>传</w:t>
            </w:r>
            <w:r>
              <w:rPr>
                <w:bCs/>
                <w:sz w:val="24"/>
                <w:szCs w:val="21"/>
              </w:rPr>
              <w:t xml:space="preserve">    </w:t>
            </w:r>
            <w:r>
              <w:rPr>
                <w:rFonts w:hAnsi="宋体"/>
                <w:bCs/>
                <w:sz w:val="24"/>
                <w:szCs w:val="21"/>
              </w:rPr>
              <w:t>真：</w:t>
            </w:r>
          </w:p>
        </w:tc>
        <w:tc>
          <w:tcPr>
            <w:tcW w:w="2564" w:type="pct"/>
            <w:noWrap w:val="0"/>
            <w:vAlign w:val="center"/>
          </w:tcPr>
          <w:p w14:paraId="1ABEED65">
            <w:pPr>
              <w:rPr>
                <w:rFonts w:hAnsi="宋体"/>
                <w:bCs/>
                <w:sz w:val="24"/>
                <w:szCs w:val="21"/>
              </w:rPr>
            </w:pPr>
            <w:r>
              <w:rPr>
                <w:rFonts w:hAnsi="宋体"/>
                <w:bCs/>
                <w:sz w:val="24"/>
                <w:szCs w:val="21"/>
              </w:rPr>
              <w:t>传</w:t>
            </w:r>
            <w:r>
              <w:rPr>
                <w:bCs/>
                <w:sz w:val="24"/>
                <w:szCs w:val="21"/>
              </w:rPr>
              <w:t xml:space="preserve">    </w:t>
            </w:r>
            <w:r>
              <w:rPr>
                <w:rFonts w:hAnsi="宋体"/>
                <w:bCs/>
                <w:sz w:val="24"/>
                <w:szCs w:val="21"/>
              </w:rPr>
              <w:t>真：</w:t>
            </w:r>
          </w:p>
        </w:tc>
      </w:tr>
      <w:tr w14:paraId="5E5E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2BB420C9">
            <w:pPr>
              <w:tabs>
                <w:tab w:val="left" w:pos="1965"/>
              </w:tabs>
              <w:spacing w:line="240" w:lineRule="atLeast"/>
              <w:rPr>
                <w:rFonts w:hAnsi="宋体"/>
                <w:bCs/>
                <w:sz w:val="24"/>
                <w:szCs w:val="21"/>
              </w:rPr>
            </w:pPr>
            <w:r>
              <w:rPr>
                <w:rFonts w:hint="eastAsia" w:hAnsi="宋体"/>
                <w:bCs/>
                <w:sz w:val="24"/>
                <w:szCs w:val="21"/>
              </w:rPr>
              <w:t>开 户 名：</w:t>
            </w:r>
          </w:p>
        </w:tc>
        <w:tc>
          <w:tcPr>
            <w:tcW w:w="2564" w:type="pct"/>
            <w:noWrap w:val="0"/>
            <w:vAlign w:val="center"/>
          </w:tcPr>
          <w:p w14:paraId="357031FD">
            <w:pPr>
              <w:rPr>
                <w:rFonts w:hAnsi="宋体"/>
                <w:bCs/>
                <w:sz w:val="24"/>
                <w:szCs w:val="21"/>
              </w:rPr>
            </w:pPr>
            <w:r>
              <w:rPr>
                <w:rFonts w:hint="eastAsia" w:hAnsi="宋体"/>
                <w:bCs/>
                <w:sz w:val="24"/>
                <w:szCs w:val="21"/>
              </w:rPr>
              <w:t>开 户 名：</w:t>
            </w:r>
          </w:p>
        </w:tc>
      </w:tr>
      <w:tr w14:paraId="0CCE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1A5E2D68">
            <w:pPr>
              <w:spacing w:line="240" w:lineRule="atLeast"/>
              <w:rPr>
                <w:rFonts w:hAnsi="宋体"/>
                <w:bCs/>
                <w:sz w:val="24"/>
                <w:szCs w:val="21"/>
              </w:rPr>
            </w:pPr>
            <w:r>
              <w:rPr>
                <w:rFonts w:hAnsi="宋体"/>
                <w:bCs/>
                <w:sz w:val="24"/>
                <w:szCs w:val="21"/>
              </w:rPr>
              <w:t>开户银行：</w:t>
            </w:r>
          </w:p>
        </w:tc>
        <w:tc>
          <w:tcPr>
            <w:tcW w:w="2564" w:type="pct"/>
            <w:noWrap w:val="0"/>
            <w:vAlign w:val="center"/>
          </w:tcPr>
          <w:p w14:paraId="6B48B988">
            <w:pPr>
              <w:rPr>
                <w:rFonts w:hAnsi="宋体"/>
                <w:bCs/>
                <w:sz w:val="24"/>
                <w:szCs w:val="21"/>
              </w:rPr>
            </w:pPr>
            <w:r>
              <w:rPr>
                <w:rFonts w:hAnsi="宋体"/>
                <w:bCs/>
                <w:sz w:val="24"/>
                <w:szCs w:val="21"/>
              </w:rPr>
              <w:t>开户银行：</w:t>
            </w:r>
          </w:p>
        </w:tc>
      </w:tr>
      <w:tr w14:paraId="58ED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2B4F86AA">
            <w:pPr>
              <w:spacing w:line="240" w:lineRule="atLeast"/>
              <w:rPr>
                <w:bCs/>
                <w:sz w:val="24"/>
                <w:szCs w:val="21"/>
              </w:rPr>
            </w:pPr>
            <w:r>
              <w:rPr>
                <w:rFonts w:hAnsi="宋体"/>
                <w:bCs/>
                <w:sz w:val="24"/>
                <w:szCs w:val="21"/>
              </w:rPr>
              <w:t>帐</w:t>
            </w:r>
            <w:r>
              <w:rPr>
                <w:bCs/>
                <w:sz w:val="24"/>
                <w:szCs w:val="21"/>
              </w:rPr>
              <w:t xml:space="preserve">    </w:t>
            </w:r>
            <w:r>
              <w:rPr>
                <w:rFonts w:hAnsi="宋体"/>
                <w:bCs/>
                <w:sz w:val="24"/>
                <w:szCs w:val="21"/>
              </w:rPr>
              <w:t>号：</w:t>
            </w:r>
          </w:p>
        </w:tc>
        <w:tc>
          <w:tcPr>
            <w:tcW w:w="2564" w:type="pct"/>
            <w:noWrap w:val="0"/>
            <w:vAlign w:val="center"/>
          </w:tcPr>
          <w:p w14:paraId="71C2C3F5">
            <w:pPr>
              <w:rPr>
                <w:rFonts w:hAnsi="宋体"/>
                <w:bCs/>
                <w:sz w:val="24"/>
                <w:szCs w:val="21"/>
              </w:rPr>
            </w:pPr>
            <w:r>
              <w:rPr>
                <w:rFonts w:hAnsi="宋体"/>
                <w:bCs/>
                <w:sz w:val="24"/>
                <w:szCs w:val="21"/>
              </w:rPr>
              <w:t>帐</w:t>
            </w:r>
            <w:r>
              <w:rPr>
                <w:bCs/>
                <w:sz w:val="24"/>
                <w:szCs w:val="21"/>
              </w:rPr>
              <w:t xml:space="preserve">    </w:t>
            </w:r>
            <w:r>
              <w:rPr>
                <w:rFonts w:hAnsi="宋体"/>
                <w:bCs/>
                <w:sz w:val="24"/>
                <w:szCs w:val="21"/>
              </w:rPr>
              <w:t>号：</w:t>
            </w:r>
          </w:p>
        </w:tc>
      </w:tr>
      <w:tr w14:paraId="0ACF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493C73C8">
            <w:pPr>
              <w:spacing w:line="240" w:lineRule="atLeast"/>
              <w:rPr>
                <w:rFonts w:hAnsi="宋体"/>
                <w:bCs/>
                <w:sz w:val="24"/>
                <w:szCs w:val="21"/>
              </w:rPr>
            </w:pPr>
            <w:r>
              <w:rPr>
                <w:rFonts w:hint="eastAsia" w:hAnsi="宋体"/>
                <w:bCs/>
                <w:sz w:val="24"/>
                <w:szCs w:val="21"/>
              </w:rPr>
              <w:t>税    号：</w:t>
            </w:r>
          </w:p>
        </w:tc>
        <w:tc>
          <w:tcPr>
            <w:tcW w:w="2564" w:type="pct"/>
            <w:noWrap w:val="0"/>
            <w:vAlign w:val="center"/>
          </w:tcPr>
          <w:p w14:paraId="1C7E5E63">
            <w:pPr>
              <w:rPr>
                <w:rFonts w:hAnsi="宋体"/>
                <w:bCs/>
                <w:sz w:val="24"/>
                <w:szCs w:val="21"/>
              </w:rPr>
            </w:pPr>
            <w:r>
              <w:rPr>
                <w:rFonts w:hint="eastAsia" w:hAnsi="宋体"/>
                <w:bCs/>
                <w:sz w:val="24"/>
                <w:szCs w:val="21"/>
              </w:rPr>
              <w:t>税    号：</w:t>
            </w:r>
          </w:p>
        </w:tc>
      </w:tr>
      <w:tr w14:paraId="7C50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6" w:type="pct"/>
            <w:noWrap w:val="0"/>
            <w:vAlign w:val="center"/>
          </w:tcPr>
          <w:p w14:paraId="72626F5C">
            <w:pPr>
              <w:spacing w:line="240" w:lineRule="atLeast"/>
              <w:rPr>
                <w:rFonts w:hAnsi="宋体"/>
                <w:bCs/>
                <w:sz w:val="24"/>
                <w:szCs w:val="21"/>
              </w:rPr>
            </w:pPr>
            <w:r>
              <w:rPr>
                <w:sz w:val="24"/>
                <w:szCs w:val="21"/>
              </w:rPr>
              <w:t>签署日期：    年    月    日</w:t>
            </w:r>
          </w:p>
        </w:tc>
        <w:tc>
          <w:tcPr>
            <w:tcW w:w="2564" w:type="pct"/>
            <w:noWrap w:val="0"/>
            <w:vAlign w:val="center"/>
          </w:tcPr>
          <w:p w14:paraId="34CD4711">
            <w:pPr>
              <w:rPr>
                <w:rFonts w:hAnsi="宋体"/>
                <w:bCs/>
                <w:sz w:val="24"/>
                <w:szCs w:val="21"/>
              </w:rPr>
            </w:pPr>
            <w:r>
              <w:rPr>
                <w:sz w:val="24"/>
                <w:szCs w:val="21"/>
              </w:rPr>
              <w:t>签署日期：    年    月    日</w:t>
            </w:r>
          </w:p>
        </w:tc>
      </w:tr>
    </w:tbl>
    <w:p w14:paraId="644B216B">
      <w:r>
        <w:br w:type="page"/>
      </w:r>
    </w:p>
    <w:p w14:paraId="0EEB751B">
      <w:pPr>
        <w:spacing w:before="156" w:beforeLines="50" w:line="360" w:lineRule="auto"/>
        <w:jc w:val="left"/>
        <w:outlineLvl w:val="1"/>
        <w:rPr>
          <w:rFonts w:hint="default" w:ascii="宋体" w:hAnsi="宋体" w:eastAsia="宋体" w:cs="宋体"/>
          <w:b/>
          <w:sz w:val="24"/>
          <w:szCs w:val="24"/>
          <w:lang w:val="en-US" w:eastAsia="zh-CN" w:bidi="ar"/>
        </w:rPr>
      </w:pPr>
      <w:bookmarkStart w:id="0" w:name="_Toc47434389"/>
      <w:r>
        <w:rPr>
          <w:rFonts w:hint="eastAsia" w:ascii="宋体" w:hAnsi="宋体" w:eastAsia="宋体" w:cs="宋体"/>
          <w:b/>
          <w:sz w:val="24"/>
          <w:szCs w:val="24"/>
          <w:lang w:val="en-US" w:eastAsia="zh-CN" w:bidi="ar"/>
        </w:rPr>
        <w:t>附件.考核办法</w:t>
      </w:r>
    </w:p>
    <w:p w14:paraId="2BF82DCC">
      <w:pPr>
        <w:spacing w:before="156" w:beforeLines="50" w:line="360" w:lineRule="auto"/>
        <w:ind w:firstLine="482" w:firstLineChars="200"/>
        <w:jc w:val="left"/>
        <w:outlineLvl w:val="1"/>
        <w:rPr>
          <w:rFonts w:hint="eastAsia" w:ascii="宋体" w:hAnsi="宋体" w:eastAsia="宋体" w:cs="宋体"/>
          <w:b/>
          <w:sz w:val="24"/>
          <w:szCs w:val="24"/>
          <w:lang w:val="en-US" w:eastAsia="zh-CN" w:bidi="ar"/>
        </w:rPr>
      </w:pPr>
      <w:r>
        <w:rPr>
          <w:rFonts w:hint="eastAsia" w:ascii="宋体" w:hAnsi="宋体" w:eastAsia="宋体" w:cs="宋体"/>
          <w:b/>
          <w:sz w:val="24"/>
          <w:szCs w:val="24"/>
          <w:lang w:val="en-US" w:eastAsia="zh-CN" w:bidi="ar"/>
        </w:rPr>
        <w:t>考核采取季度考核（即合同期满一次性考核），依据考核结果支付运维费用，考核分数90（含）分以上不扣减费用；80（含）分-90（不含）分扣减10%；考核70（含）分-80（不含）分扣减30%；考核60（含）分-70（不含）分以下扣减50%；考核60（不含）分以下或出现环保事故扣减100%。因操作不规范或其他原因致使设备损坏，导致污水处理厂无法正常运营或因非甲方责任造成超标排放等将追究责任并赔偿相应损失；如涉及违法行为甲方有权利解约并追究相应法律责任。</w:t>
      </w:r>
    </w:p>
    <w:p w14:paraId="69DA4A78">
      <w:pPr>
        <w:spacing w:before="156" w:beforeLines="50" w:line="360" w:lineRule="auto"/>
        <w:ind w:firstLine="482" w:firstLineChars="200"/>
        <w:jc w:val="center"/>
        <w:outlineLvl w:val="1"/>
        <w:rPr>
          <w:rFonts w:ascii="Times New Roman" w:hAnsi="Times New Roman" w:eastAsia="宋体" w:cs="Times New Roman"/>
          <w:b/>
          <w:sz w:val="24"/>
          <w:szCs w:val="24"/>
        </w:rPr>
      </w:pPr>
      <w:r>
        <w:rPr>
          <w:rFonts w:hint="eastAsia" w:ascii="宋体" w:hAnsi="宋体" w:eastAsia="宋体" w:cs="宋体"/>
          <w:b/>
          <w:sz w:val="24"/>
          <w:szCs w:val="24"/>
          <w:lang w:bidi="ar"/>
        </w:rPr>
        <w:t>附表</w:t>
      </w:r>
      <w:r>
        <w:rPr>
          <w:rFonts w:ascii="Times New Roman" w:hAnsi="Times New Roman" w:eastAsia="宋体" w:cs="Times New Roman"/>
          <w:b/>
          <w:sz w:val="24"/>
          <w:szCs w:val="24"/>
          <w:lang w:bidi="ar"/>
        </w:rPr>
        <w:t xml:space="preserve">  </w:t>
      </w:r>
      <w:r>
        <w:rPr>
          <w:rFonts w:hint="eastAsia" w:ascii="宋体" w:hAnsi="宋体" w:eastAsia="宋体" w:cs="宋体"/>
          <w:b/>
          <w:sz w:val="24"/>
          <w:szCs w:val="24"/>
          <w:lang w:bidi="ar"/>
        </w:rPr>
        <w:t>运营维护考核内容</w:t>
      </w:r>
      <w:bookmarkEnd w:id="0"/>
      <w:r>
        <w:rPr>
          <w:rFonts w:hint="eastAsia" w:ascii="宋体" w:hAnsi="宋体" w:eastAsia="宋体" w:cs="宋体"/>
          <w:b/>
          <w:sz w:val="24"/>
          <w:szCs w:val="24"/>
          <w:lang w:bidi="ar"/>
        </w:rPr>
        <w:t>及考核指标</w:t>
      </w:r>
    </w:p>
    <w:tbl>
      <w:tblPr>
        <w:tblStyle w:val="3"/>
        <w:tblW w:w="9580" w:type="dxa"/>
        <w:jc w:val="center"/>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7"/>
        <w:gridCol w:w="6319"/>
        <w:gridCol w:w="1984"/>
      </w:tblGrid>
      <w:tr w14:paraId="3C466779">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7596" w:type="dxa"/>
            <w:gridSpan w:val="2"/>
            <w:tcBorders>
              <w:top w:val="single" w:color="auto" w:sz="18" w:space="0"/>
              <w:left w:val="nil"/>
              <w:bottom w:val="single" w:color="auto" w:sz="18" w:space="0"/>
              <w:right w:val="single" w:color="auto" w:sz="2" w:space="0"/>
            </w:tcBorders>
            <w:noWrap w:val="0"/>
            <w:vAlign w:val="center"/>
          </w:tcPr>
          <w:p w14:paraId="21ED4978">
            <w:pPr>
              <w:autoSpaceDE w:val="0"/>
              <w:autoSpaceDN w:val="0"/>
              <w:adjustRightInd w:val="0"/>
              <w:ind w:left="48" w:firstLine="482"/>
              <w:jc w:val="center"/>
              <w:rPr>
                <w:rFonts w:ascii="Times New Roman" w:hAnsi="Times New Roman" w:eastAsia="仿宋" w:cs="Times New Roman"/>
                <w:b/>
                <w:sz w:val="24"/>
                <w:szCs w:val="24"/>
              </w:rPr>
            </w:pPr>
            <w:r>
              <w:rPr>
                <w:rFonts w:hint="eastAsia" w:ascii="仿宋" w:hAnsi="仿宋" w:eastAsia="仿宋" w:cs="仿宋"/>
                <w:b/>
                <w:sz w:val="24"/>
                <w:szCs w:val="24"/>
                <w:lang w:bidi="ar"/>
              </w:rPr>
              <w:t>一、运营维护考核（</w:t>
            </w:r>
            <w:r>
              <w:rPr>
                <w:rFonts w:ascii="Times New Roman" w:hAnsi="Times New Roman" w:eastAsia="仿宋" w:cs="Times New Roman"/>
                <w:b/>
                <w:sz w:val="24"/>
                <w:szCs w:val="24"/>
                <w:lang w:bidi="ar"/>
              </w:rPr>
              <w:t>50</w:t>
            </w:r>
            <w:r>
              <w:rPr>
                <w:rFonts w:hint="eastAsia" w:ascii="仿宋" w:hAnsi="仿宋" w:eastAsia="仿宋" w:cs="仿宋"/>
                <w:b/>
                <w:sz w:val="24"/>
                <w:szCs w:val="24"/>
                <w:lang w:bidi="ar"/>
              </w:rPr>
              <w:t>分）</w:t>
            </w:r>
          </w:p>
        </w:tc>
        <w:tc>
          <w:tcPr>
            <w:tcW w:w="1984" w:type="dxa"/>
            <w:tcBorders>
              <w:top w:val="single" w:color="auto" w:sz="18" w:space="0"/>
              <w:left w:val="single" w:color="auto" w:sz="2" w:space="0"/>
              <w:bottom w:val="single" w:color="auto" w:sz="18" w:space="0"/>
              <w:right w:val="nil"/>
            </w:tcBorders>
            <w:noWrap w:val="0"/>
            <w:vAlign w:val="center"/>
          </w:tcPr>
          <w:p w14:paraId="12B36B23">
            <w:pPr>
              <w:autoSpaceDE w:val="0"/>
              <w:autoSpaceDN w:val="0"/>
              <w:adjustRightInd w:val="0"/>
              <w:ind w:left="48"/>
              <w:jc w:val="center"/>
              <w:rPr>
                <w:rFonts w:ascii="Times New Roman" w:hAnsi="Times New Roman" w:eastAsia="仿宋" w:cs="Times New Roman"/>
                <w:b/>
                <w:sz w:val="24"/>
                <w:szCs w:val="24"/>
              </w:rPr>
            </w:pPr>
            <w:r>
              <w:rPr>
                <w:rFonts w:hint="eastAsia" w:ascii="仿宋" w:hAnsi="仿宋" w:eastAsia="仿宋" w:cs="仿宋"/>
                <w:b/>
                <w:sz w:val="24"/>
                <w:szCs w:val="24"/>
                <w:lang w:bidi="ar"/>
              </w:rPr>
              <w:t>考核方式</w:t>
            </w:r>
          </w:p>
        </w:tc>
      </w:tr>
      <w:tr w14:paraId="1F642FE7">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277" w:type="dxa"/>
            <w:vMerge w:val="restart"/>
            <w:tcBorders>
              <w:top w:val="single" w:color="auto" w:sz="2" w:space="0"/>
              <w:left w:val="nil"/>
              <w:bottom w:val="single" w:color="auto" w:sz="2" w:space="0"/>
              <w:right w:val="single" w:color="auto" w:sz="2" w:space="0"/>
            </w:tcBorders>
            <w:noWrap w:val="0"/>
            <w:vAlign w:val="center"/>
          </w:tcPr>
          <w:p w14:paraId="6618F046">
            <w:pPr>
              <w:autoSpaceDE w:val="0"/>
              <w:autoSpaceDN w:val="0"/>
              <w:adjustRightInd w:val="0"/>
              <w:spacing w:line="288" w:lineRule="auto"/>
              <w:jc w:val="center"/>
              <w:rPr>
                <w:rFonts w:ascii="Times New Roman" w:hAnsi="Times New Roman" w:eastAsia="仿宋" w:cs="Times New Roman"/>
                <w:sz w:val="24"/>
                <w:szCs w:val="24"/>
              </w:rPr>
            </w:pPr>
            <w:r>
              <w:rPr>
                <w:rFonts w:hint="eastAsia" w:ascii="仿宋" w:hAnsi="仿宋" w:eastAsia="仿宋" w:cs="仿宋"/>
                <w:sz w:val="24"/>
                <w:szCs w:val="24"/>
                <w:lang w:bidi="ar"/>
              </w:rPr>
              <w:t>安全生产和文明施工</w:t>
            </w:r>
          </w:p>
        </w:tc>
        <w:tc>
          <w:tcPr>
            <w:tcW w:w="6319" w:type="dxa"/>
            <w:tcBorders>
              <w:top w:val="single" w:color="auto" w:sz="2" w:space="0"/>
              <w:left w:val="single" w:color="auto" w:sz="2" w:space="0"/>
              <w:bottom w:val="single" w:color="auto" w:sz="2" w:space="0"/>
              <w:right w:val="single" w:color="auto" w:sz="2" w:space="0"/>
            </w:tcBorders>
            <w:noWrap w:val="0"/>
            <w:vAlign w:val="top"/>
          </w:tcPr>
          <w:p w14:paraId="3D31A7F1">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1.</w:t>
            </w:r>
            <w:r>
              <w:rPr>
                <w:rFonts w:hint="eastAsia" w:ascii="仿宋" w:hAnsi="仿宋" w:eastAsia="仿宋" w:cs="仿宋"/>
                <w:sz w:val="24"/>
                <w:szCs w:val="24"/>
                <w:lang w:bidi="ar"/>
              </w:rPr>
              <w:t>按照项目监管机构要求统一购置安全标示、装置，设置安全围护。定期对维护人员进行安全培训，做好安全台账。不按规定的每次扣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分。未设置安全维护造成人员伤亡或财产损失的应承担相应责任，并扣</w:t>
            </w:r>
            <w:r>
              <w:rPr>
                <w:rFonts w:ascii="Times New Roman" w:hAnsi="Times New Roman" w:eastAsia="仿宋" w:cs="Times New Roman"/>
                <w:sz w:val="24"/>
                <w:szCs w:val="24"/>
                <w:lang w:bidi="ar"/>
              </w:rPr>
              <w:t>4</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019DF212">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抽查</w:t>
            </w:r>
          </w:p>
        </w:tc>
      </w:tr>
      <w:tr w14:paraId="4C1495A9">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0BD050FF">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3089E6C3">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2.</w:t>
            </w:r>
            <w:r>
              <w:rPr>
                <w:rFonts w:hint="eastAsia" w:ascii="仿宋" w:hAnsi="仿宋" w:eastAsia="仿宋" w:cs="仿宋"/>
                <w:sz w:val="24"/>
                <w:szCs w:val="24"/>
                <w:lang w:bidi="ar"/>
              </w:rPr>
              <w:t>排水管道维护人员维护作业时，未按要求进行管道通风、下井作业人员未按要求佩戴安全防护装备、现场交通栏护设施摆放不到位等相关情况，每发现一次扣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5788BBA4">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抽查</w:t>
            </w:r>
          </w:p>
        </w:tc>
      </w:tr>
      <w:tr w14:paraId="5F1405B6">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4C58ED16">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2BCF1FE1">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3.</w:t>
            </w:r>
            <w:r>
              <w:rPr>
                <w:rFonts w:hint="eastAsia" w:ascii="仿宋" w:hAnsi="仿宋" w:eastAsia="仿宋" w:cs="仿宋"/>
                <w:sz w:val="24"/>
                <w:szCs w:val="24"/>
                <w:lang w:bidi="ar"/>
              </w:rPr>
              <w:t>未按合同约定按期对管道进行应急事故检查，每次扣</w:t>
            </w:r>
            <w:r>
              <w:rPr>
                <w:rFonts w:ascii="Times New Roman" w:hAnsi="Times New Roman" w:eastAsia="仿宋" w:cs="Times New Roman"/>
                <w:sz w:val="24"/>
                <w:szCs w:val="24"/>
                <w:lang w:bidi="ar"/>
              </w:rPr>
              <w:t>5</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43C8A099">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抽查</w:t>
            </w:r>
          </w:p>
        </w:tc>
      </w:tr>
      <w:tr w14:paraId="03DB1E15">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447CCA06">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319A4D8D">
            <w:pPr>
              <w:autoSpaceDE w:val="0"/>
              <w:autoSpaceDN w:val="0"/>
              <w:adjustRightInd w:val="0"/>
              <w:spacing w:line="288" w:lineRule="auto"/>
              <w:ind w:firstLine="480"/>
              <w:rPr>
                <w:rFonts w:hint="default"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4.未按照合同约定对厂区内建筑物、构筑物、道路、绿化进行及时维护的，每发现一次扣1分。</w:t>
            </w:r>
          </w:p>
        </w:tc>
        <w:tc>
          <w:tcPr>
            <w:tcW w:w="1984" w:type="dxa"/>
            <w:tcBorders>
              <w:top w:val="single" w:color="auto" w:sz="2" w:space="0"/>
              <w:left w:val="single" w:color="auto" w:sz="2" w:space="0"/>
              <w:bottom w:val="single" w:color="auto" w:sz="2" w:space="0"/>
              <w:right w:val="nil"/>
            </w:tcBorders>
            <w:noWrap w:val="0"/>
            <w:vAlign w:val="center"/>
          </w:tcPr>
          <w:p w14:paraId="32BB6E13">
            <w:pPr>
              <w:autoSpaceDE w:val="0"/>
              <w:autoSpaceDN w:val="0"/>
              <w:adjustRightInd w:val="0"/>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抽查</w:t>
            </w:r>
          </w:p>
        </w:tc>
      </w:tr>
      <w:tr w14:paraId="0A66F810">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493130E0">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06C6FCFA">
            <w:pPr>
              <w:autoSpaceDE w:val="0"/>
              <w:autoSpaceDN w:val="0"/>
              <w:adjustRightInd w:val="0"/>
              <w:spacing w:line="288"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bidi="ar"/>
              </w:rPr>
              <w:t>5</w:t>
            </w:r>
            <w:r>
              <w:rPr>
                <w:rFonts w:ascii="Times New Roman" w:hAnsi="Times New Roman" w:eastAsia="仿宋" w:cs="Times New Roman"/>
                <w:sz w:val="24"/>
                <w:szCs w:val="24"/>
                <w:lang w:bidi="ar"/>
              </w:rPr>
              <w:t>.</w:t>
            </w:r>
            <w:r>
              <w:rPr>
                <w:rFonts w:hint="eastAsia" w:ascii="仿宋" w:hAnsi="仿宋" w:eastAsia="仿宋" w:cs="仿宋"/>
                <w:sz w:val="24"/>
                <w:szCs w:val="24"/>
                <w:lang w:bidi="ar"/>
              </w:rPr>
              <w:t>维护队员按规定着装、文明作业，不得同用户争吵。不按规定着装每人次扣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分；不文明作业每次扣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3372ECC5">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抽查</w:t>
            </w:r>
          </w:p>
        </w:tc>
      </w:tr>
      <w:tr w14:paraId="5ECA8383">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restart"/>
            <w:tcBorders>
              <w:top w:val="single" w:color="auto" w:sz="2" w:space="0"/>
              <w:left w:val="nil"/>
              <w:bottom w:val="single" w:color="auto" w:sz="2" w:space="0"/>
              <w:right w:val="single" w:color="auto" w:sz="2" w:space="0"/>
            </w:tcBorders>
            <w:noWrap w:val="0"/>
            <w:vAlign w:val="center"/>
          </w:tcPr>
          <w:p w14:paraId="5E9D2F85">
            <w:pPr>
              <w:autoSpaceDE w:val="0"/>
              <w:autoSpaceDN w:val="0"/>
              <w:adjustRightInd w:val="0"/>
              <w:spacing w:line="288" w:lineRule="auto"/>
              <w:jc w:val="center"/>
              <w:rPr>
                <w:rFonts w:ascii="Times New Roman" w:hAnsi="Times New Roman" w:eastAsia="仿宋" w:cs="Times New Roman"/>
                <w:sz w:val="24"/>
                <w:szCs w:val="24"/>
              </w:rPr>
            </w:pPr>
            <w:r>
              <w:rPr>
                <w:rFonts w:hint="eastAsia" w:ascii="仿宋" w:hAnsi="仿宋" w:eastAsia="仿宋" w:cs="仿宋"/>
                <w:sz w:val="24"/>
                <w:szCs w:val="24"/>
                <w:lang w:bidi="ar"/>
              </w:rPr>
              <w:t>污水处理厂养护质量</w:t>
            </w:r>
          </w:p>
        </w:tc>
        <w:tc>
          <w:tcPr>
            <w:tcW w:w="6319" w:type="dxa"/>
            <w:tcBorders>
              <w:top w:val="single" w:color="auto" w:sz="2" w:space="0"/>
              <w:left w:val="single" w:color="auto" w:sz="2" w:space="0"/>
              <w:bottom w:val="single" w:color="auto" w:sz="2" w:space="0"/>
              <w:right w:val="single" w:color="auto" w:sz="2" w:space="0"/>
            </w:tcBorders>
            <w:noWrap w:val="0"/>
            <w:vAlign w:val="top"/>
          </w:tcPr>
          <w:p w14:paraId="22B7A7AF">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1.</w:t>
            </w:r>
            <w:r>
              <w:rPr>
                <w:rFonts w:hint="eastAsia" w:ascii="仿宋" w:hAnsi="仿宋" w:eastAsia="仿宋" w:cs="仿宋"/>
                <w:sz w:val="24"/>
                <w:szCs w:val="24"/>
                <w:lang w:bidi="ar"/>
              </w:rPr>
              <w:t>污水处理厂电气、仪表完好率未达到</w:t>
            </w:r>
            <w:r>
              <w:rPr>
                <w:rFonts w:ascii="Times New Roman" w:hAnsi="Times New Roman" w:eastAsia="仿宋" w:cs="Times New Roman"/>
                <w:sz w:val="24"/>
                <w:szCs w:val="24"/>
                <w:lang w:bidi="ar"/>
              </w:rPr>
              <w:t>98%</w:t>
            </w:r>
            <w:r>
              <w:rPr>
                <w:rFonts w:hint="eastAsia" w:ascii="仿宋" w:hAnsi="仿宋" w:eastAsia="仿宋" w:cs="仿宋"/>
                <w:sz w:val="24"/>
                <w:szCs w:val="24"/>
                <w:lang w:bidi="ar"/>
              </w:rPr>
              <w:t>以上的，每次扣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分；污水处理厂的</w:t>
            </w:r>
            <w:r>
              <w:rPr>
                <w:rFonts w:hint="eastAsia" w:ascii="仿宋" w:hAnsi="仿宋" w:eastAsia="仿宋" w:cs="仿宋"/>
                <w:sz w:val="24"/>
                <w:szCs w:val="24"/>
                <w:lang w:val="en-US" w:eastAsia="zh-CN" w:bidi="ar"/>
              </w:rPr>
              <w:t>污水处理设备、污水处理设施</w:t>
            </w:r>
            <w:r>
              <w:rPr>
                <w:rFonts w:hint="eastAsia" w:ascii="仿宋" w:hAnsi="仿宋" w:eastAsia="仿宋" w:cs="仿宋"/>
                <w:sz w:val="24"/>
                <w:szCs w:val="24"/>
                <w:lang w:bidi="ar"/>
              </w:rPr>
              <w:t>、电气设备、仪表等设施未进行维护的，每发现一处扣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分；相关设施设备出现故障在</w:t>
            </w:r>
            <w:r>
              <w:rPr>
                <w:rFonts w:ascii="Times New Roman" w:hAnsi="Times New Roman" w:eastAsia="仿宋" w:cs="Times New Roman"/>
                <w:sz w:val="24"/>
                <w:szCs w:val="24"/>
                <w:lang w:bidi="ar"/>
              </w:rPr>
              <w:t>3</w:t>
            </w:r>
            <w:r>
              <w:rPr>
                <w:rFonts w:hint="eastAsia" w:ascii="仿宋" w:hAnsi="仿宋" w:eastAsia="仿宋" w:cs="仿宋"/>
                <w:sz w:val="24"/>
                <w:szCs w:val="24"/>
                <w:lang w:bidi="ar"/>
              </w:rPr>
              <w:t>个工作日内未开始维修的，每发现一次扣</w:t>
            </w:r>
            <w:r>
              <w:rPr>
                <w:rFonts w:ascii="Times New Roman" w:hAnsi="Times New Roman" w:eastAsia="仿宋" w:cs="Times New Roman"/>
                <w:sz w:val="24"/>
                <w:szCs w:val="24"/>
                <w:lang w:bidi="ar"/>
              </w:rPr>
              <w:t>3</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63ABC7F9">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季度考核、抽查</w:t>
            </w:r>
          </w:p>
        </w:tc>
      </w:tr>
      <w:tr w14:paraId="5BF3D4FD">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11BA3839">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166B9BA8">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2.</w:t>
            </w:r>
            <w:r>
              <w:rPr>
                <w:rFonts w:hint="eastAsia" w:ascii="仿宋" w:hAnsi="仿宋" w:eastAsia="仿宋" w:cs="仿宋"/>
                <w:sz w:val="24"/>
                <w:szCs w:val="24"/>
                <w:lang w:bidi="ar"/>
              </w:rPr>
              <w:t>未按要求配备并定点放置相关消防器材、未按规定对污水处理设备、电气安全用具等进行定期检测的、运营资料及维修记录不完善的，每次扣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0055583D">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季度考核、抽查</w:t>
            </w:r>
          </w:p>
        </w:tc>
      </w:tr>
      <w:tr w14:paraId="475C793B">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37402171">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3069D714">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3.</w:t>
            </w:r>
            <w:r>
              <w:rPr>
                <w:rFonts w:hint="eastAsia" w:ascii="仿宋" w:hAnsi="仿宋" w:eastAsia="仿宋" w:cs="仿宋"/>
                <w:sz w:val="24"/>
                <w:szCs w:val="24"/>
                <w:lang w:bidi="ar"/>
              </w:rPr>
              <w:t>相关设施设备检查维护作业时，人员未按要求佩戴安全防护装备，发现一次扣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3AE4BA2C">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季度考核、抽查</w:t>
            </w:r>
          </w:p>
        </w:tc>
      </w:tr>
      <w:tr w14:paraId="1D75DB09">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77548E73">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6839F2B9">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4.</w:t>
            </w:r>
            <w:r>
              <w:rPr>
                <w:rFonts w:hint="eastAsia" w:ascii="仿宋" w:hAnsi="仿宋" w:eastAsia="仿宋" w:cs="仿宋"/>
                <w:sz w:val="24"/>
                <w:szCs w:val="24"/>
                <w:lang w:bidi="ar"/>
              </w:rPr>
              <w:t>相关设施设备未进行年检，或检测为不合格后继续使用的，发现一次扣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6B1DAD4F">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季度考核、抽查</w:t>
            </w:r>
          </w:p>
        </w:tc>
      </w:tr>
      <w:tr w14:paraId="6181E227">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01D4B76A">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22A360B3">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5.</w:t>
            </w:r>
            <w:r>
              <w:rPr>
                <w:rFonts w:hint="eastAsia" w:ascii="仿宋" w:hAnsi="仿宋" w:eastAsia="仿宋" w:cs="仿宋"/>
                <w:sz w:val="24"/>
                <w:szCs w:val="24"/>
                <w:lang w:bidi="ar"/>
              </w:rPr>
              <w:t>未定期对设施、机电设备和配件外表除锈，防腐蚀处理，每次扣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4ECEC84E">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季度考核、抽查</w:t>
            </w:r>
          </w:p>
        </w:tc>
      </w:tr>
      <w:tr w14:paraId="4667A2D2">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08ADB193">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0E3B2394">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6.</w:t>
            </w:r>
            <w:r>
              <w:rPr>
                <w:rFonts w:hint="eastAsia" w:ascii="仿宋" w:hAnsi="仿宋" w:eastAsia="仿宋" w:cs="仿宋"/>
                <w:sz w:val="24"/>
                <w:szCs w:val="24"/>
                <w:lang w:bidi="ar"/>
              </w:rPr>
              <w:t>未定期对相关附属设施整修，每次扣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1CF62E13">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季度考核、抽查</w:t>
            </w:r>
          </w:p>
        </w:tc>
      </w:tr>
      <w:tr w14:paraId="3C2249B5">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7596" w:type="dxa"/>
            <w:gridSpan w:val="2"/>
            <w:tcBorders>
              <w:top w:val="single" w:color="auto" w:sz="2" w:space="0"/>
              <w:left w:val="nil"/>
              <w:bottom w:val="single" w:color="auto" w:sz="2" w:space="0"/>
              <w:right w:val="single" w:color="auto" w:sz="2" w:space="0"/>
            </w:tcBorders>
            <w:noWrap w:val="0"/>
            <w:vAlign w:val="center"/>
          </w:tcPr>
          <w:p w14:paraId="1F83401B">
            <w:pPr>
              <w:autoSpaceDE w:val="0"/>
              <w:autoSpaceDN w:val="0"/>
              <w:adjustRightInd w:val="0"/>
              <w:spacing w:line="288" w:lineRule="auto"/>
              <w:ind w:firstLine="482"/>
              <w:jc w:val="center"/>
              <w:rPr>
                <w:rFonts w:ascii="Times New Roman" w:hAnsi="Times New Roman" w:eastAsia="仿宋" w:cs="Times New Roman"/>
                <w:b/>
                <w:sz w:val="24"/>
                <w:szCs w:val="24"/>
              </w:rPr>
            </w:pPr>
            <w:r>
              <w:rPr>
                <w:rFonts w:hint="eastAsia" w:ascii="仿宋" w:hAnsi="仿宋" w:eastAsia="仿宋" w:cs="仿宋"/>
                <w:b/>
                <w:sz w:val="24"/>
                <w:szCs w:val="24"/>
                <w:lang w:bidi="ar"/>
              </w:rPr>
              <w:t>二、台账资料考核</w:t>
            </w:r>
            <w:r>
              <w:rPr>
                <w:rFonts w:ascii="Times New Roman" w:hAnsi="Times New Roman" w:eastAsia="仿宋" w:cs="Times New Roman"/>
                <w:b/>
                <w:sz w:val="24"/>
                <w:szCs w:val="24"/>
                <w:lang w:bidi="ar"/>
              </w:rPr>
              <w:t>15</w:t>
            </w:r>
            <w:r>
              <w:rPr>
                <w:rFonts w:hint="eastAsia" w:ascii="仿宋" w:hAnsi="仿宋" w:eastAsia="仿宋" w:cs="仿宋"/>
                <w:b/>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17189C97">
            <w:pPr>
              <w:autoSpaceDE w:val="0"/>
              <w:autoSpaceDN w:val="0"/>
              <w:adjustRightInd w:val="0"/>
              <w:spacing w:line="288" w:lineRule="auto"/>
              <w:jc w:val="center"/>
              <w:rPr>
                <w:rFonts w:ascii="Times New Roman" w:hAnsi="Times New Roman" w:eastAsia="仿宋" w:cs="Times New Roman"/>
                <w:b/>
                <w:sz w:val="24"/>
                <w:szCs w:val="24"/>
              </w:rPr>
            </w:pPr>
            <w:r>
              <w:rPr>
                <w:rFonts w:hint="eastAsia" w:ascii="仿宋" w:hAnsi="仿宋" w:eastAsia="仿宋" w:cs="仿宋"/>
                <w:b/>
                <w:sz w:val="24"/>
                <w:szCs w:val="24"/>
                <w:lang w:bidi="ar"/>
              </w:rPr>
              <w:t>考核方式</w:t>
            </w:r>
          </w:p>
        </w:tc>
      </w:tr>
      <w:tr w14:paraId="3416005A">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tcBorders>
              <w:top w:val="single" w:color="auto" w:sz="2" w:space="0"/>
              <w:left w:val="nil"/>
              <w:bottom w:val="single" w:color="auto" w:sz="2" w:space="0"/>
              <w:right w:val="single" w:color="auto" w:sz="2" w:space="0"/>
            </w:tcBorders>
            <w:noWrap w:val="0"/>
            <w:vAlign w:val="center"/>
          </w:tcPr>
          <w:p w14:paraId="51176DB1">
            <w:pPr>
              <w:autoSpaceDE w:val="0"/>
              <w:autoSpaceDN w:val="0"/>
              <w:adjustRightInd w:val="0"/>
              <w:spacing w:line="288" w:lineRule="auto"/>
              <w:jc w:val="center"/>
              <w:rPr>
                <w:rFonts w:ascii="Times New Roman" w:hAnsi="Times New Roman" w:eastAsia="仿宋" w:cs="Times New Roman"/>
                <w:sz w:val="24"/>
                <w:szCs w:val="24"/>
              </w:rPr>
            </w:pPr>
            <w:r>
              <w:rPr>
                <w:rFonts w:hint="eastAsia" w:ascii="仿宋" w:hAnsi="仿宋" w:eastAsia="仿宋" w:cs="仿宋"/>
                <w:sz w:val="24"/>
                <w:szCs w:val="24"/>
                <w:lang w:bidi="ar"/>
              </w:rPr>
              <w:t>日常报表</w:t>
            </w:r>
          </w:p>
        </w:tc>
        <w:tc>
          <w:tcPr>
            <w:tcW w:w="6319" w:type="dxa"/>
            <w:tcBorders>
              <w:top w:val="single" w:color="auto" w:sz="2" w:space="0"/>
              <w:left w:val="single" w:color="auto" w:sz="2" w:space="0"/>
              <w:bottom w:val="single" w:color="auto" w:sz="2" w:space="0"/>
              <w:right w:val="single" w:color="auto" w:sz="2" w:space="0"/>
            </w:tcBorders>
            <w:noWrap w:val="0"/>
            <w:vAlign w:val="top"/>
          </w:tcPr>
          <w:p w14:paraId="76854991">
            <w:pPr>
              <w:autoSpaceDE w:val="0"/>
              <w:autoSpaceDN w:val="0"/>
              <w:adjustRightInd w:val="0"/>
              <w:spacing w:line="288" w:lineRule="auto"/>
              <w:ind w:firstLine="480"/>
              <w:rPr>
                <w:rFonts w:ascii="Times New Roman" w:hAnsi="Times New Roman" w:eastAsia="仿宋" w:cs="Times New Roman"/>
                <w:sz w:val="24"/>
                <w:szCs w:val="24"/>
              </w:rPr>
            </w:pPr>
            <w:r>
              <w:rPr>
                <w:rFonts w:hint="eastAsia" w:ascii="仿宋" w:hAnsi="仿宋" w:eastAsia="仿宋" w:cs="仿宋"/>
                <w:sz w:val="24"/>
                <w:szCs w:val="24"/>
                <w:lang w:bidi="ar"/>
              </w:rPr>
              <w:t>认真如实填写污水处理厂及管网的运营维护日报表、月报表，开展自查（自查比例不少于</w:t>
            </w:r>
            <w:r>
              <w:rPr>
                <w:rFonts w:ascii="Times New Roman" w:hAnsi="Times New Roman" w:eastAsia="仿宋" w:cs="Times New Roman"/>
                <w:sz w:val="24"/>
                <w:szCs w:val="24"/>
                <w:lang w:bidi="ar"/>
              </w:rPr>
              <w:t>30%</w:t>
            </w:r>
            <w:r>
              <w:rPr>
                <w:rFonts w:hint="eastAsia" w:ascii="仿宋" w:hAnsi="仿宋" w:eastAsia="仿宋" w:cs="仿宋"/>
                <w:sz w:val="24"/>
                <w:szCs w:val="24"/>
                <w:lang w:bidi="ar"/>
              </w:rPr>
              <w:t>），每月上报运营维护、自查情况汇总。填写不规范每次每件扣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分，不按时上报或延迟上报每次扣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w:t>
            </w:r>
          </w:p>
          <w:p w14:paraId="4F79F3AC">
            <w:pPr>
              <w:autoSpaceDE w:val="0"/>
              <w:autoSpaceDN w:val="0"/>
              <w:adjustRightInd w:val="0"/>
              <w:spacing w:line="288" w:lineRule="auto"/>
              <w:ind w:firstLine="480"/>
              <w:rPr>
                <w:rFonts w:ascii="Times New Roman" w:hAnsi="Times New Roman" w:eastAsia="仿宋" w:cs="Times New Roman"/>
                <w:sz w:val="24"/>
                <w:szCs w:val="24"/>
              </w:rPr>
            </w:pPr>
            <w:r>
              <w:rPr>
                <w:rFonts w:hint="eastAsia" w:ascii="仿宋" w:hAnsi="仿宋" w:eastAsia="仿宋" w:cs="仿宋"/>
                <w:sz w:val="24"/>
                <w:szCs w:val="24"/>
                <w:lang w:bidi="ar"/>
              </w:rPr>
              <w:t>及时上报年度工作计划，经甲方审核认可后按月按计划进行运营维护。未上报年度计划的扣</w:t>
            </w:r>
            <w:r>
              <w:rPr>
                <w:rFonts w:ascii="Times New Roman" w:hAnsi="Times New Roman" w:eastAsia="仿宋" w:cs="Times New Roman"/>
                <w:sz w:val="24"/>
                <w:szCs w:val="24"/>
                <w:lang w:bidi="ar"/>
              </w:rPr>
              <w:t>4</w:t>
            </w:r>
            <w:r>
              <w:rPr>
                <w:rFonts w:hint="eastAsia" w:ascii="仿宋" w:hAnsi="仿宋" w:eastAsia="仿宋" w:cs="仿宋"/>
                <w:sz w:val="24"/>
                <w:szCs w:val="24"/>
                <w:lang w:bidi="ar"/>
              </w:rPr>
              <w:t>分，计划实施不到位的每次扣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78EBDAA8">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现场查阅</w:t>
            </w:r>
          </w:p>
        </w:tc>
      </w:tr>
      <w:tr w14:paraId="59B8965A">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tcBorders>
              <w:top w:val="single" w:color="auto" w:sz="2" w:space="0"/>
              <w:left w:val="nil"/>
              <w:bottom w:val="single" w:color="auto" w:sz="2" w:space="0"/>
              <w:right w:val="single" w:color="auto" w:sz="2" w:space="0"/>
            </w:tcBorders>
            <w:noWrap w:val="0"/>
            <w:vAlign w:val="center"/>
          </w:tcPr>
          <w:p w14:paraId="7E4E30B1">
            <w:pPr>
              <w:autoSpaceDE w:val="0"/>
              <w:autoSpaceDN w:val="0"/>
              <w:adjustRightInd w:val="0"/>
              <w:spacing w:line="288" w:lineRule="auto"/>
              <w:jc w:val="center"/>
              <w:rPr>
                <w:rFonts w:ascii="Times New Roman" w:hAnsi="Times New Roman" w:eastAsia="仿宋" w:cs="Times New Roman"/>
                <w:sz w:val="24"/>
                <w:szCs w:val="24"/>
              </w:rPr>
            </w:pPr>
            <w:r>
              <w:rPr>
                <w:rFonts w:hint="eastAsia" w:ascii="仿宋" w:hAnsi="仿宋" w:eastAsia="仿宋" w:cs="仿宋"/>
                <w:sz w:val="24"/>
                <w:szCs w:val="24"/>
                <w:lang w:bidi="ar"/>
              </w:rPr>
              <w:t>巡查记录</w:t>
            </w:r>
          </w:p>
        </w:tc>
        <w:tc>
          <w:tcPr>
            <w:tcW w:w="6319" w:type="dxa"/>
            <w:tcBorders>
              <w:top w:val="single" w:color="auto" w:sz="2" w:space="0"/>
              <w:left w:val="single" w:color="auto" w:sz="2" w:space="0"/>
              <w:bottom w:val="single" w:color="auto" w:sz="2" w:space="0"/>
              <w:right w:val="single" w:color="auto" w:sz="2" w:space="0"/>
            </w:tcBorders>
            <w:noWrap w:val="0"/>
            <w:vAlign w:val="top"/>
          </w:tcPr>
          <w:p w14:paraId="1C4EAFB7">
            <w:pPr>
              <w:autoSpaceDE w:val="0"/>
              <w:autoSpaceDN w:val="0"/>
              <w:adjustRightInd w:val="0"/>
              <w:spacing w:line="288" w:lineRule="auto"/>
              <w:ind w:firstLine="480"/>
              <w:rPr>
                <w:rFonts w:ascii="Times New Roman" w:hAnsi="Times New Roman" w:eastAsia="仿宋" w:cs="Times New Roman"/>
                <w:sz w:val="24"/>
                <w:szCs w:val="24"/>
              </w:rPr>
            </w:pPr>
            <w:r>
              <w:rPr>
                <w:rFonts w:hint="eastAsia" w:ascii="仿宋" w:hAnsi="仿宋" w:eastAsia="仿宋" w:cs="仿宋"/>
                <w:sz w:val="24"/>
                <w:szCs w:val="24"/>
                <w:lang w:bidi="ar"/>
              </w:rPr>
              <w:t>运营维护须建立巡视制度，每周巡视不少于</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次；维修维护施工工地等重点区域要求每天巡视。低于巡视频率的每发现一次扣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分；巡查记录不及时扣</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分，巡查记录不真实扣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w:t>
            </w:r>
            <w:r>
              <w:rPr>
                <w:rFonts w:ascii="Times New Roman" w:hAnsi="Times New Roman" w:eastAsia="仿宋" w:cs="Times New Roman"/>
                <w:sz w:val="24"/>
                <w:szCs w:val="24"/>
                <w:lang w:bidi="ar"/>
              </w:rPr>
              <w:t>/</w:t>
            </w:r>
            <w:r>
              <w:rPr>
                <w:rFonts w:hint="eastAsia" w:ascii="仿宋" w:hAnsi="仿宋" w:eastAsia="仿宋" w:cs="仿宋"/>
                <w:sz w:val="24"/>
                <w:szCs w:val="24"/>
                <w:lang w:bidi="ar"/>
              </w:rPr>
              <w:t>每处。</w:t>
            </w:r>
          </w:p>
        </w:tc>
        <w:tc>
          <w:tcPr>
            <w:tcW w:w="1984" w:type="dxa"/>
            <w:tcBorders>
              <w:top w:val="single" w:color="auto" w:sz="2" w:space="0"/>
              <w:left w:val="single" w:color="auto" w:sz="2" w:space="0"/>
              <w:bottom w:val="single" w:color="auto" w:sz="2" w:space="0"/>
              <w:right w:val="nil"/>
            </w:tcBorders>
            <w:noWrap w:val="0"/>
            <w:vAlign w:val="center"/>
          </w:tcPr>
          <w:p w14:paraId="417FB2DF">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现场查阅</w:t>
            </w:r>
          </w:p>
        </w:tc>
      </w:tr>
      <w:tr w14:paraId="14220D16">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186" w:hRule="atLeast"/>
          <w:jc w:val="center"/>
        </w:trPr>
        <w:tc>
          <w:tcPr>
            <w:tcW w:w="7596" w:type="dxa"/>
            <w:gridSpan w:val="2"/>
            <w:tcBorders>
              <w:top w:val="single" w:color="auto" w:sz="2" w:space="0"/>
              <w:left w:val="nil"/>
              <w:bottom w:val="single" w:color="auto" w:sz="2" w:space="0"/>
              <w:right w:val="single" w:color="auto" w:sz="2" w:space="0"/>
            </w:tcBorders>
            <w:noWrap w:val="0"/>
            <w:vAlign w:val="center"/>
          </w:tcPr>
          <w:p w14:paraId="4BE62926">
            <w:pPr>
              <w:autoSpaceDE w:val="0"/>
              <w:autoSpaceDN w:val="0"/>
              <w:adjustRightInd w:val="0"/>
              <w:spacing w:line="288" w:lineRule="auto"/>
              <w:ind w:firstLine="482"/>
              <w:jc w:val="center"/>
              <w:rPr>
                <w:rFonts w:ascii="Times New Roman" w:hAnsi="Times New Roman" w:eastAsia="仿宋" w:cs="Times New Roman"/>
                <w:b/>
                <w:sz w:val="24"/>
                <w:szCs w:val="24"/>
              </w:rPr>
            </w:pPr>
            <w:r>
              <w:rPr>
                <w:rFonts w:hint="eastAsia" w:ascii="仿宋" w:hAnsi="仿宋" w:eastAsia="仿宋" w:cs="仿宋"/>
                <w:b/>
                <w:sz w:val="24"/>
                <w:szCs w:val="24"/>
                <w:lang w:bidi="ar"/>
              </w:rPr>
              <w:t>三、问题整改及投诉处理考核情况</w:t>
            </w:r>
            <w:r>
              <w:rPr>
                <w:rFonts w:ascii="Times New Roman" w:hAnsi="Times New Roman" w:eastAsia="仿宋" w:cs="Times New Roman"/>
                <w:b/>
                <w:sz w:val="24"/>
                <w:szCs w:val="24"/>
                <w:lang w:bidi="ar"/>
              </w:rPr>
              <w:t>15</w:t>
            </w:r>
            <w:r>
              <w:rPr>
                <w:rFonts w:hint="eastAsia" w:ascii="仿宋" w:hAnsi="仿宋" w:eastAsia="仿宋" w:cs="仿宋"/>
                <w:b/>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21491988">
            <w:pPr>
              <w:autoSpaceDE w:val="0"/>
              <w:autoSpaceDN w:val="0"/>
              <w:adjustRightInd w:val="0"/>
              <w:spacing w:line="288" w:lineRule="auto"/>
              <w:jc w:val="center"/>
              <w:rPr>
                <w:rFonts w:ascii="Times New Roman" w:hAnsi="Times New Roman" w:eastAsia="仿宋" w:cs="Times New Roman"/>
                <w:b/>
                <w:sz w:val="24"/>
                <w:szCs w:val="24"/>
              </w:rPr>
            </w:pPr>
            <w:r>
              <w:rPr>
                <w:rFonts w:hint="eastAsia" w:ascii="仿宋" w:hAnsi="仿宋" w:eastAsia="仿宋" w:cs="仿宋"/>
                <w:b/>
                <w:sz w:val="24"/>
                <w:szCs w:val="24"/>
                <w:lang w:bidi="ar"/>
              </w:rPr>
              <w:t>考核方式</w:t>
            </w:r>
          </w:p>
        </w:tc>
      </w:tr>
      <w:tr w14:paraId="57103248">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1277" w:type="dxa"/>
            <w:vMerge w:val="restart"/>
            <w:tcBorders>
              <w:top w:val="single" w:color="auto" w:sz="2" w:space="0"/>
              <w:left w:val="nil"/>
              <w:bottom w:val="single" w:color="auto" w:sz="2" w:space="0"/>
              <w:right w:val="single" w:color="auto" w:sz="2" w:space="0"/>
            </w:tcBorders>
            <w:noWrap w:val="0"/>
            <w:vAlign w:val="center"/>
          </w:tcPr>
          <w:p w14:paraId="49294A98">
            <w:pPr>
              <w:autoSpaceDE w:val="0"/>
              <w:autoSpaceDN w:val="0"/>
              <w:adjustRightInd w:val="0"/>
              <w:spacing w:line="288" w:lineRule="auto"/>
              <w:jc w:val="center"/>
              <w:rPr>
                <w:rFonts w:ascii="Times New Roman" w:hAnsi="Times New Roman" w:eastAsia="仿宋" w:cs="Times New Roman"/>
                <w:sz w:val="24"/>
                <w:szCs w:val="24"/>
              </w:rPr>
            </w:pPr>
            <w:r>
              <w:rPr>
                <w:rFonts w:hint="eastAsia" w:ascii="仿宋" w:hAnsi="仿宋" w:eastAsia="仿宋" w:cs="仿宋"/>
                <w:sz w:val="24"/>
                <w:szCs w:val="24"/>
                <w:lang w:bidi="ar"/>
              </w:rPr>
              <w:t>处理及时率</w:t>
            </w:r>
          </w:p>
        </w:tc>
        <w:tc>
          <w:tcPr>
            <w:tcW w:w="6319" w:type="dxa"/>
            <w:tcBorders>
              <w:top w:val="single" w:color="auto" w:sz="2" w:space="0"/>
              <w:left w:val="single" w:color="auto" w:sz="2" w:space="0"/>
              <w:bottom w:val="single" w:color="auto" w:sz="2" w:space="0"/>
              <w:right w:val="single" w:color="auto" w:sz="2" w:space="0"/>
            </w:tcBorders>
            <w:noWrap w:val="0"/>
            <w:vAlign w:val="top"/>
          </w:tcPr>
          <w:p w14:paraId="7D5F4076">
            <w:pPr>
              <w:autoSpaceDE w:val="0"/>
              <w:autoSpaceDN w:val="0"/>
              <w:adjustRightInd w:val="0"/>
              <w:spacing w:line="288" w:lineRule="auto"/>
              <w:ind w:firstLine="480"/>
              <w:rPr>
                <w:rFonts w:ascii="Times New Roman" w:hAnsi="Times New Roman" w:eastAsia="仿宋" w:cs="Times New Roman"/>
                <w:sz w:val="24"/>
                <w:szCs w:val="24"/>
              </w:rPr>
            </w:pPr>
            <w:r>
              <w:rPr>
                <w:rFonts w:hint="eastAsia" w:ascii="仿宋" w:hAnsi="仿宋" w:eastAsia="仿宋" w:cs="仿宋"/>
                <w:sz w:val="24"/>
                <w:szCs w:val="24"/>
                <w:lang w:bidi="ar"/>
              </w:rPr>
              <w:t>对上季度考核通报问题未及时完成整改并上报整改情况的，每一次扣</w:t>
            </w:r>
            <w:r>
              <w:rPr>
                <w:rFonts w:ascii="Times New Roman" w:hAnsi="Times New Roman" w:eastAsia="仿宋" w:cs="Times New Roman"/>
                <w:sz w:val="24"/>
                <w:szCs w:val="24"/>
                <w:lang w:bidi="ar"/>
              </w:rPr>
              <w:t>5</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17B54886">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季度考核、抽查</w:t>
            </w:r>
          </w:p>
        </w:tc>
      </w:tr>
      <w:tr w14:paraId="02A42C02">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0600E3FD">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31476B32">
            <w:pPr>
              <w:autoSpaceDE w:val="0"/>
              <w:autoSpaceDN w:val="0"/>
              <w:adjustRightInd w:val="0"/>
              <w:spacing w:line="288" w:lineRule="auto"/>
              <w:ind w:firstLine="480"/>
              <w:rPr>
                <w:rFonts w:ascii="Times New Roman" w:hAnsi="Times New Roman" w:eastAsia="仿宋" w:cs="Times New Roman"/>
                <w:sz w:val="24"/>
                <w:szCs w:val="24"/>
              </w:rPr>
            </w:pPr>
            <w:r>
              <w:rPr>
                <w:rFonts w:hint="eastAsia" w:ascii="仿宋" w:hAnsi="仿宋" w:eastAsia="仿宋" w:cs="仿宋"/>
                <w:sz w:val="24"/>
                <w:szCs w:val="24"/>
                <w:lang w:bidi="ar"/>
              </w:rPr>
              <w:t>管理人员接到各类投诉事项后应第一时间赶赴现场（白天必须在</w:t>
            </w:r>
            <w:r>
              <w:rPr>
                <w:rFonts w:ascii="Times New Roman" w:hAnsi="Times New Roman" w:eastAsia="仿宋" w:cs="Times New Roman"/>
                <w:sz w:val="24"/>
                <w:szCs w:val="24"/>
                <w:lang w:bidi="ar"/>
              </w:rPr>
              <w:t>1</w:t>
            </w:r>
            <w:r>
              <w:rPr>
                <w:rFonts w:hint="eastAsia" w:ascii="仿宋" w:hAnsi="仿宋" w:eastAsia="仿宋" w:cs="仿宋"/>
                <w:sz w:val="24"/>
                <w:szCs w:val="24"/>
                <w:lang w:bidi="ar"/>
              </w:rPr>
              <w:t>小时内，夜间在</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小时内），并安排人员处理问题，及时如实上报处理结果，现场记录情况及照片</w:t>
            </w:r>
            <w:r>
              <w:rPr>
                <w:rFonts w:ascii="Times New Roman" w:hAnsi="Times New Roman" w:eastAsia="仿宋" w:cs="Times New Roman"/>
                <w:sz w:val="24"/>
                <w:szCs w:val="24"/>
                <w:lang w:bidi="ar"/>
              </w:rPr>
              <w:t>3</w:t>
            </w:r>
            <w:r>
              <w:rPr>
                <w:rFonts w:hint="eastAsia" w:ascii="仿宋" w:hAnsi="仿宋" w:eastAsia="仿宋" w:cs="仿宋"/>
                <w:sz w:val="24"/>
                <w:szCs w:val="24"/>
                <w:lang w:bidi="ar"/>
              </w:rPr>
              <w:t>日内上报监管机构。保证信息畅通，指定联系电话必须</w:t>
            </w:r>
            <w:r>
              <w:rPr>
                <w:rFonts w:ascii="Times New Roman" w:hAnsi="Times New Roman" w:eastAsia="仿宋" w:cs="Times New Roman"/>
                <w:sz w:val="24"/>
                <w:szCs w:val="24"/>
                <w:lang w:bidi="ar"/>
              </w:rPr>
              <w:t>24</w:t>
            </w:r>
            <w:r>
              <w:rPr>
                <w:rFonts w:hint="eastAsia" w:ascii="仿宋" w:hAnsi="仿宋" w:eastAsia="仿宋" w:cs="仿宋"/>
                <w:sz w:val="24"/>
                <w:szCs w:val="24"/>
                <w:lang w:bidi="ar"/>
              </w:rPr>
              <w:t>小时有人接听。管理人员不到现场处理投诉每次扣</w:t>
            </w:r>
            <w:r>
              <w:rPr>
                <w:rFonts w:ascii="Times New Roman" w:hAnsi="Times New Roman" w:eastAsia="仿宋" w:cs="Times New Roman"/>
                <w:sz w:val="24"/>
                <w:szCs w:val="24"/>
                <w:lang w:bidi="ar"/>
              </w:rPr>
              <w:t>3</w:t>
            </w:r>
            <w:r>
              <w:rPr>
                <w:rFonts w:hint="eastAsia" w:ascii="仿宋" w:hAnsi="仿宋" w:eastAsia="仿宋" w:cs="仿宋"/>
                <w:sz w:val="24"/>
                <w:szCs w:val="24"/>
                <w:lang w:bidi="ar"/>
              </w:rPr>
              <w:t>分；超时或不报的每次扣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分，无记录的扣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分，上报情况与实际不符者每次扣</w:t>
            </w:r>
            <w:r>
              <w:rPr>
                <w:rFonts w:ascii="Times New Roman" w:hAnsi="Times New Roman" w:eastAsia="仿宋" w:cs="Times New Roman"/>
                <w:sz w:val="24"/>
                <w:szCs w:val="24"/>
                <w:lang w:bidi="ar"/>
              </w:rPr>
              <w:t>3</w:t>
            </w:r>
            <w:r>
              <w:rPr>
                <w:rFonts w:hint="eastAsia" w:ascii="仿宋" w:hAnsi="仿宋" w:eastAsia="仿宋" w:cs="仿宋"/>
                <w:sz w:val="24"/>
                <w:szCs w:val="24"/>
                <w:lang w:bidi="ar"/>
              </w:rPr>
              <w:t>分；造成严重影响的扣</w:t>
            </w:r>
            <w:r>
              <w:rPr>
                <w:rFonts w:ascii="Times New Roman" w:hAnsi="Times New Roman" w:eastAsia="仿宋" w:cs="Times New Roman"/>
                <w:sz w:val="24"/>
                <w:szCs w:val="24"/>
                <w:lang w:bidi="ar"/>
              </w:rPr>
              <w:t>6</w:t>
            </w:r>
            <w:r>
              <w:rPr>
                <w:rFonts w:hint="eastAsia" w:ascii="仿宋" w:hAnsi="仿宋" w:eastAsia="仿宋" w:cs="仿宋"/>
                <w:sz w:val="24"/>
                <w:szCs w:val="24"/>
                <w:lang w:bidi="ar"/>
              </w:rPr>
              <w:t>分；出现关机、无人接听、无法联系等情况，</w:t>
            </w:r>
            <w:r>
              <w:rPr>
                <w:rFonts w:ascii="Times New Roman" w:hAnsi="Times New Roman" w:eastAsia="仿宋" w:cs="Times New Roman"/>
                <w:sz w:val="24"/>
                <w:szCs w:val="24"/>
                <w:lang w:bidi="ar"/>
              </w:rPr>
              <w:t>15</w:t>
            </w:r>
            <w:r>
              <w:rPr>
                <w:rFonts w:hint="eastAsia" w:ascii="仿宋" w:hAnsi="仿宋" w:eastAsia="仿宋" w:cs="仿宋"/>
                <w:sz w:val="24"/>
                <w:szCs w:val="24"/>
                <w:lang w:bidi="ar"/>
              </w:rPr>
              <w:t>分钟联系不到的每次扣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00A5273C">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日常记录，核查投诉反馈</w:t>
            </w:r>
          </w:p>
        </w:tc>
      </w:tr>
      <w:tr w14:paraId="560AC04B">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tcBorders>
              <w:top w:val="single" w:color="auto" w:sz="2" w:space="0"/>
              <w:left w:val="nil"/>
              <w:bottom w:val="single" w:color="auto" w:sz="2" w:space="0"/>
              <w:right w:val="single" w:color="auto" w:sz="2" w:space="0"/>
            </w:tcBorders>
            <w:noWrap w:val="0"/>
            <w:vAlign w:val="center"/>
          </w:tcPr>
          <w:p w14:paraId="3090AF67">
            <w:pPr>
              <w:autoSpaceDE w:val="0"/>
              <w:autoSpaceDN w:val="0"/>
              <w:adjustRightInd w:val="0"/>
              <w:spacing w:line="288" w:lineRule="auto"/>
              <w:jc w:val="center"/>
              <w:rPr>
                <w:rFonts w:ascii="Times New Roman" w:hAnsi="Times New Roman" w:eastAsia="仿宋" w:cs="Times New Roman"/>
                <w:sz w:val="24"/>
                <w:szCs w:val="24"/>
              </w:rPr>
            </w:pPr>
            <w:r>
              <w:rPr>
                <w:rFonts w:hint="eastAsia" w:ascii="仿宋" w:hAnsi="仿宋" w:eastAsia="仿宋" w:cs="仿宋"/>
                <w:sz w:val="24"/>
                <w:szCs w:val="24"/>
                <w:lang w:bidi="ar"/>
              </w:rPr>
              <w:t>降低投诉率</w:t>
            </w:r>
          </w:p>
        </w:tc>
        <w:tc>
          <w:tcPr>
            <w:tcW w:w="6319" w:type="dxa"/>
            <w:tcBorders>
              <w:top w:val="single" w:color="auto" w:sz="2" w:space="0"/>
              <w:left w:val="single" w:color="auto" w:sz="2" w:space="0"/>
              <w:bottom w:val="single" w:color="auto" w:sz="2" w:space="0"/>
              <w:right w:val="single" w:color="auto" w:sz="2" w:space="0"/>
            </w:tcBorders>
            <w:noWrap w:val="0"/>
            <w:vAlign w:val="top"/>
          </w:tcPr>
          <w:p w14:paraId="2DB994A2">
            <w:pPr>
              <w:autoSpaceDE w:val="0"/>
              <w:autoSpaceDN w:val="0"/>
              <w:adjustRightInd w:val="0"/>
              <w:spacing w:line="288" w:lineRule="auto"/>
              <w:ind w:firstLine="480"/>
              <w:rPr>
                <w:rFonts w:ascii="Times New Roman" w:hAnsi="Times New Roman" w:eastAsia="仿宋" w:cs="Times New Roman"/>
                <w:sz w:val="24"/>
                <w:szCs w:val="24"/>
              </w:rPr>
            </w:pPr>
            <w:r>
              <w:rPr>
                <w:rFonts w:hint="eastAsia" w:ascii="仿宋" w:hAnsi="仿宋" w:eastAsia="仿宋" w:cs="仿宋"/>
                <w:sz w:val="24"/>
                <w:szCs w:val="24"/>
                <w:lang w:bidi="ar"/>
              </w:rPr>
              <w:t>未在规定时间内及时处置相关市民投诉、热线转办、人大政协提案、甲方及监管机构交办事项的，每件扣</w:t>
            </w:r>
            <w:r>
              <w:rPr>
                <w:rFonts w:ascii="Times New Roman" w:hAnsi="Times New Roman" w:eastAsia="仿宋" w:cs="Times New Roman"/>
                <w:sz w:val="24"/>
                <w:szCs w:val="24"/>
                <w:lang w:bidi="ar"/>
              </w:rPr>
              <w:t>2</w:t>
            </w:r>
            <w:r>
              <w:rPr>
                <w:rFonts w:hint="eastAsia" w:ascii="仿宋" w:hAnsi="仿宋" w:eastAsia="仿宋" w:cs="仿宋"/>
                <w:sz w:val="24"/>
                <w:szCs w:val="24"/>
                <w:lang w:bidi="ar"/>
              </w:rPr>
              <w:t>分，最多扣</w:t>
            </w:r>
            <w:r>
              <w:rPr>
                <w:rFonts w:ascii="Times New Roman" w:hAnsi="Times New Roman" w:eastAsia="仿宋" w:cs="Times New Roman"/>
                <w:sz w:val="24"/>
                <w:szCs w:val="24"/>
                <w:lang w:bidi="ar"/>
              </w:rPr>
              <w:t>10</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0361F46D">
            <w:pPr>
              <w:autoSpaceDE w:val="0"/>
              <w:autoSpaceDN w:val="0"/>
              <w:adjustRightInd w:val="0"/>
              <w:spacing w:line="288" w:lineRule="auto"/>
              <w:rPr>
                <w:rFonts w:ascii="Times New Roman" w:hAnsi="Times New Roman" w:eastAsia="仿宋" w:cs="Times New Roman"/>
                <w:sz w:val="24"/>
                <w:szCs w:val="24"/>
              </w:rPr>
            </w:pPr>
          </w:p>
        </w:tc>
      </w:tr>
      <w:tr w14:paraId="18C48754">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7596" w:type="dxa"/>
            <w:gridSpan w:val="2"/>
            <w:tcBorders>
              <w:top w:val="single" w:color="auto" w:sz="2" w:space="0"/>
              <w:left w:val="nil"/>
              <w:bottom w:val="single" w:color="auto" w:sz="2" w:space="0"/>
              <w:right w:val="single" w:color="auto" w:sz="2" w:space="0"/>
            </w:tcBorders>
            <w:noWrap w:val="0"/>
            <w:vAlign w:val="center"/>
          </w:tcPr>
          <w:p w14:paraId="5163D7D7">
            <w:pPr>
              <w:autoSpaceDE w:val="0"/>
              <w:autoSpaceDN w:val="0"/>
              <w:adjustRightInd w:val="0"/>
              <w:spacing w:line="288" w:lineRule="auto"/>
              <w:ind w:firstLine="482"/>
              <w:jc w:val="center"/>
              <w:rPr>
                <w:rFonts w:ascii="Times New Roman" w:hAnsi="Times New Roman" w:eastAsia="仿宋" w:cs="Times New Roman"/>
                <w:b/>
                <w:sz w:val="24"/>
                <w:szCs w:val="24"/>
              </w:rPr>
            </w:pPr>
            <w:r>
              <w:rPr>
                <w:rFonts w:hint="eastAsia" w:ascii="仿宋" w:hAnsi="仿宋" w:eastAsia="仿宋" w:cs="仿宋"/>
                <w:b/>
                <w:sz w:val="24"/>
                <w:szCs w:val="24"/>
                <w:lang w:bidi="ar"/>
              </w:rPr>
              <w:t>四、应急抢险考核</w:t>
            </w:r>
            <w:r>
              <w:rPr>
                <w:rFonts w:ascii="Times New Roman" w:hAnsi="Times New Roman" w:eastAsia="仿宋" w:cs="Times New Roman"/>
                <w:b/>
                <w:sz w:val="24"/>
                <w:szCs w:val="24"/>
                <w:lang w:bidi="ar"/>
              </w:rPr>
              <w:t>20</w:t>
            </w:r>
            <w:r>
              <w:rPr>
                <w:rFonts w:hint="eastAsia" w:ascii="仿宋" w:hAnsi="仿宋" w:eastAsia="仿宋" w:cs="仿宋"/>
                <w:b/>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5605505A">
            <w:pPr>
              <w:autoSpaceDE w:val="0"/>
              <w:autoSpaceDN w:val="0"/>
              <w:adjustRightInd w:val="0"/>
              <w:spacing w:line="288" w:lineRule="auto"/>
              <w:jc w:val="center"/>
              <w:rPr>
                <w:rFonts w:ascii="Times New Roman" w:hAnsi="Times New Roman" w:eastAsia="仿宋" w:cs="Times New Roman"/>
                <w:b/>
                <w:sz w:val="24"/>
                <w:szCs w:val="24"/>
              </w:rPr>
            </w:pPr>
            <w:r>
              <w:rPr>
                <w:rFonts w:hint="eastAsia" w:ascii="仿宋" w:hAnsi="仿宋" w:eastAsia="仿宋" w:cs="仿宋"/>
                <w:b/>
                <w:sz w:val="24"/>
                <w:szCs w:val="24"/>
                <w:lang w:bidi="ar"/>
              </w:rPr>
              <w:t>考核方式</w:t>
            </w:r>
          </w:p>
        </w:tc>
      </w:tr>
      <w:tr w14:paraId="28AE15C5">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1277" w:type="dxa"/>
            <w:vMerge w:val="restart"/>
            <w:tcBorders>
              <w:top w:val="single" w:color="auto" w:sz="2" w:space="0"/>
              <w:left w:val="nil"/>
              <w:bottom w:val="single" w:color="auto" w:sz="2" w:space="0"/>
              <w:right w:val="single" w:color="auto" w:sz="2" w:space="0"/>
            </w:tcBorders>
            <w:noWrap w:val="0"/>
            <w:vAlign w:val="center"/>
          </w:tcPr>
          <w:p w14:paraId="363A1FE4">
            <w:pPr>
              <w:autoSpaceDE w:val="0"/>
              <w:autoSpaceDN w:val="0"/>
              <w:adjustRightInd w:val="0"/>
              <w:spacing w:line="288" w:lineRule="auto"/>
              <w:jc w:val="center"/>
              <w:rPr>
                <w:rFonts w:ascii="Times New Roman" w:hAnsi="Times New Roman" w:eastAsia="仿宋" w:cs="Times New Roman"/>
                <w:sz w:val="24"/>
                <w:szCs w:val="24"/>
              </w:rPr>
            </w:pPr>
            <w:r>
              <w:rPr>
                <w:rFonts w:hint="eastAsia" w:ascii="仿宋" w:hAnsi="仿宋" w:eastAsia="仿宋" w:cs="仿宋"/>
                <w:sz w:val="24"/>
                <w:szCs w:val="24"/>
                <w:lang w:bidi="ar"/>
              </w:rPr>
              <w:t>应急抢险</w:t>
            </w:r>
          </w:p>
        </w:tc>
        <w:tc>
          <w:tcPr>
            <w:tcW w:w="6319" w:type="dxa"/>
            <w:tcBorders>
              <w:top w:val="single" w:color="auto" w:sz="2" w:space="0"/>
              <w:left w:val="single" w:color="auto" w:sz="2" w:space="0"/>
              <w:bottom w:val="single" w:color="auto" w:sz="2" w:space="0"/>
              <w:right w:val="single" w:color="auto" w:sz="2" w:space="0"/>
            </w:tcBorders>
            <w:noWrap w:val="0"/>
            <w:vAlign w:val="top"/>
          </w:tcPr>
          <w:p w14:paraId="230E2DBD">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1</w:t>
            </w:r>
            <w:r>
              <w:rPr>
                <w:rFonts w:hint="eastAsia" w:ascii="仿宋" w:hAnsi="仿宋" w:eastAsia="仿宋" w:cs="仿宋"/>
                <w:sz w:val="24"/>
                <w:szCs w:val="24"/>
                <w:lang w:bidi="ar"/>
              </w:rPr>
              <w:t>、因乙方自身原因造成抢险项目组织不当，导致未在规定时间内完成抢险处置的，每次扣</w:t>
            </w:r>
            <w:r>
              <w:rPr>
                <w:rFonts w:ascii="Times New Roman" w:hAnsi="Times New Roman" w:eastAsia="仿宋" w:cs="Times New Roman"/>
                <w:sz w:val="24"/>
                <w:szCs w:val="24"/>
                <w:lang w:bidi="ar"/>
              </w:rPr>
              <w:t>10</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41AFE319">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全查</w:t>
            </w:r>
          </w:p>
        </w:tc>
      </w:tr>
      <w:tr w14:paraId="766B9653">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1277" w:type="dxa"/>
            <w:vMerge w:val="continue"/>
            <w:tcBorders>
              <w:top w:val="single" w:color="auto" w:sz="2" w:space="0"/>
              <w:left w:val="nil"/>
              <w:bottom w:val="single" w:color="auto" w:sz="2" w:space="0"/>
              <w:right w:val="single" w:color="auto" w:sz="2" w:space="0"/>
            </w:tcBorders>
            <w:noWrap w:val="0"/>
            <w:vAlign w:val="center"/>
          </w:tcPr>
          <w:p w14:paraId="7892B5F2">
            <w:pPr>
              <w:rPr>
                <w:rFonts w:ascii="Times New Roman" w:hAnsi="Times New Roman" w:eastAsia="仿宋_GB2312" w:cs="Times New Roman"/>
                <w:sz w:val="20"/>
                <w:szCs w:val="20"/>
              </w:rPr>
            </w:pPr>
          </w:p>
        </w:tc>
        <w:tc>
          <w:tcPr>
            <w:tcW w:w="6319" w:type="dxa"/>
            <w:tcBorders>
              <w:top w:val="single" w:color="auto" w:sz="2" w:space="0"/>
              <w:left w:val="single" w:color="auto" w:sz="2" w:space="0"/>
              <w:bottom w:val="single" w:color="auto" w:sz="2" w:space="0"/>
              <w:right w:val="single" w:color="auto" w:sz="2" w:space="0"/>
            </w:tcBorders>
            <w:noWrap w:val="0"/>
            <w:vAlign w:val="top"/>
          </w:tcPr>
          <w:p w14:paraId="66C896A0">
            <w:pPr>
              <w:autoSpaceDE w:val="0"/>
              <w:autoSpaceDN w:val="0"/>
              <w:adjustRightInd w:val="0"/>
              <w:spacing w:line="288"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lang w:bidi="ar"/>
              </w:rPr>
              <w:t>2</w:t>
            </w:r>
            <w:r>
              <w:rPr>
                <w:rFonts w:hint="eastAsia" w:ascii="仿宋" w:hAnsi="仿宋" w:eastAsia="仿宋" w:cs="仿宋"/>
                <w:sz w:val="24"/>
                <w:szCs w:val="24"/>
                <w:lang w:bidi="ar"/>
              </w:rPr>
              <w:t>、因乙方自身原因造成抢险处置不当，引发重大安全事故或形成恶劣社会影响的，每次扣</w:t>
            </w:r>
            <w:r>
              <w:rPr>
                <w:rFonts w:ascii="Times New Roman" w:hAnsi="Times New Roman" w:eastAsia="仿宋" w:cs="Times New Roman"/>
                <w:sz w:val="24"/>
                <w:szCs w:val="24"/>
                <w:lang w:bidi="ar"/>
              </w:rPr>
              <w:t>20</w:t>
            </w:r>
            <w:r>
              <w:rPr>
                <w:rFonts w:hint="eastAsia" w:ascii="仿宋" w:hAnsi="仿宋" w:eastAsia="仿宋" w:cs="仿宋"/>
                <w:sz w:val="24"/>
                <w:szCs w:val="24"/>
                <w:lang w:bidi="ar"/>
              </w:rPr>
              <w:t>分。</w:t>
            </w:r>
          </w:p>
        </w:tc>
        <w:tc>
          <w:tcPr>
            <w:tcW w:w="1984" w:type="dxa"/>
            <w:tcBorders>
              <w:top w:val="single" w:color="auto" w:sz="2" w:space="0"/>
              <w:left w:val="single" w:color="auto" w:sz="2" w:space="0"/>
              <w:bottom w:val="single" w:color="auto" w:sz="2" w:space="0"/>
              <w:right w:val="nil"/>
            </w:tcBorders>
            <w:noWrap w:val="0"/>
            <w:vAlign w:val="center"/>
          </w:tcPr>
          <w:p w14:paraId="1B8542B8">
            <w:pPr>
              <w:autoSpaceDE w:val="0"/>
              <w:autoSpaceDN w:val="0"/>
              <w:adjustRightInd w:val="0"/>
              <w:spacing w:line="288" w:lineRule="auto"/>
              <w:rPr>
                <w:rFonts w:ascii="Times New Roman" w:hAnsi="Times New Roman" w:eastAsia="仿宋" w:cs="Times New Roman"/>
                <w:sz w:val="24"/>
                <w:szCs w:val="24"/>
              </w:rPr>
            </w:pPr>
            <w:r>
              <w:rPr>
                <w:rFonts w:hint="eastAsia" w:ascii="仿宋" w:hAnsi="仿宋" w:eastAsia="仿宋" w:cs="仿宋"/>
                <w:sz w:val="24"/>
                <w:szCs w:val="24"/>
                <w:lang w:bidi="ar"/>
              </w:rPr>
              <w:t>全查</w:t>
            </w:r>
          </w:p>
        </w:tc>
      </w:tr>
    </w:tbl>
    <w:p w14:paraId="771E4F38"/>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AE53">
    <w:pPr>
      <w:pStyle w:val="2"/>
      <w:jc w:val="center"/>
      <w:rPr>
        <w:rFonts w:ascii="Times New Roman" w:hAnsi="Times New Roman"/>
        <w:lang w:val="zh-CN"/>
      </w:rPr>
    </w:pPr>
    <w:r>
      <w:rPr>
        <w:rFonts w:hint="eastAsia" w:ascii="Times New Roman" w:hAnsi="Times New Roman"/>
        <w:lang w:val="zh-CN"/>
      </w:rPr>
      <w:t>第</w:t>
    </w:r>
    <w:r>
      <w:rPr>
        <w:rFonts w:ascii="Times New Roman" w:hAnsi="Times New Roman"/>
        <w:lang w:val="zh-CN"/>
      </w:rPr>
      <w:fldChar w:fldCharType="begin"/>
    </w:r>
    <w:r>
      <w:rPr>
        <w:rFonts w:ascii="Times New Roman" w:hAnsi="Times New Roman"/>
        <w:lang w:val="zh-CN"/>
      </w:rPr>
      <w:instrText xml:space="preserve">PAGE</w:instrText>
    </w:r>
    <w:r>
      <w:rPr>
        <w:rFonts w:ascii="Times New Roman" w:hAnsi="Times New Roman"/>
        <w:lang w:val="zh-CN"/>
      </w:rPr>
      <w:fldChar w:fldCharType="separate"/>
    </w:r>
    <w:r>
      <w:rPr>
        <w:rFonts w:ascii="Times New Roman" w:hAnsi="Times New Roman"/>
        <w:lang w:val="zh-CN"/>
      </w:rPr>
      <w:t>1</w:t>
    </w:r>
    <w:r>
      <w:rPr>
        <w:rFonts w:ascii="Times New Roman" w:hAnsi="Times New Roman"/>
        <w:lang w:val="zh-CN"/>
      </w:rPr>
      <w:fldChar w:fldCharType="end"/>
    </w:r>
    <w:r>
      <w:rPr>
        <w:rFonts w:hint="eastAsia" w:ascii="Times New Roman" w:hAnsi="Times New Roman"/>
        <w:lang w:val="zh-CN"/>
      </w:rPr>
      <w:t>页</w:t>
    </w:r>
    <w:r>
      <w:rPr>
        <w:rFonts w:ascii="Times New Roman" w:hAnsi="Times New Roman"/>
        <w:lang w:val="zh-CN"/>
      </w:rPr>
      <w:t>/</w:t>
    </w:r>
    <w:r>
      <w:rPr>
        <w:rFonts w:hint="eastAsia" w:ascii="Times New Roman" w:hAnsi="Times New Roman"/>
        <w:lang w:val="zh-CN"/>
      </w:rPr>
      <w:t>共</w:t>
    </w:r>
    <w:r>
      <w:rPr>
        <w:rFonts w:ascii="Times New Roman" w:hAnsi="Times New Roman"/>
        <w:lang w:val="zh-CN"/>
      </w:rPr>
      <w:fldChar w:fldCharType="begin"/>
    </w:r>
    <w:r>
      <w:rPr>
        <w:rFonts w:ascii="Times New Roman" w:hAnsi="Times New Roman"/>
        <w:lang w:val="zh-CN"/>
      </w:rPr>
      <w:instrText xml:space="preserve">NUMPAGES</w:instrText>
    </w:r>
    <w:r>
      <w:rPr>
        <w:rFonts w:ascii="Times New Roman" w:hAnsi="Times New Roman"/>
        <w:lang w:val="zh-CN"/>
      </w:rPr>
      <w:fldChar w:fldCharType="separate"/>
    </w:r>
    <w:r>
      <w:rPr>
        <w:rFonts w:ascii="Times New Roman" w:hAnsi="Times New Roman"/>
        <w:lang w:val="zh-CN"/>
      </w:rPr>
      <w:t>4</w:t>
    </w:r>
    <w:r>
      <w:rPr>
        <w:rFonts w:ascii="Times New Roman" w:hAnsi="Times New Roman"/>
        <w:lang w:val="zh-CN"/>
      </w:rPr>
      <w:fldChar w:fldCharType="end"/>
    </w:r>
    <w:r>
      <w:rPr>
        <w:rFonts w:ascii="Times New Roman" w:hAnsi="Times New Roman"/>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06086"/>
    <w:multiLevelType w:val="multilevel"/>
    <w:tmpl w:val="11006086"/>
    <w:lvl w:ilvl="0" w:tentative="0">
      <w:start w:val="1"/>
      <w:numFmt w:val="decimal"/>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100803"/>
    <w:multiLevelType w:val="multilevel"/>
    <w:tmpl w:val="3B10080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BhZjNlN2VkOTYwOTU5MDQ3YWY0NzZiYzk3MWQifQ=="/>
    <w:docVar w:name="KSO_WPS_MARK_KEY" w:val="3e952340-caca-43e2-8cfe-dcecadfb5420"/>
  </w:docVars>
  <w:rsids>
    <w:rsidRoot w:val="2D7A1DCB"/>
    <w:rsid w:val="0D3177DF"/>
    <w:rsid w:val="26964247"/>
    <w:rsid w:val="2D794EE2"/>
    <w:rsid w:val="2D7A1DCB"/>
    <w:rsid w:val="30BF5E7B"/>
    <w:rsid w:val="33B20D4C"/>
    <w:rsid w:val="3A0155BC"/>
    <w:rsid w:val="44CD4E80"/>
    <w:rsid w:val="57B601B5"/>
    <w:rsid w:val="5A3A66BB"/>
    <w:rsid w:val="75584EFA"/>
    <w:rsid w:val="7F5D7F56"/>
    <w:rsid w:val="7F9B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1461</Words>
  <Characters>1529</Characters>
  <Lines>0</Lines>
  <Paragraphs>0</Paragraphs>
  <TotalTime>1</TotalTime>
  <ScaleCrop>false</ScaleCrop>
  <LinksUpToDate>false</LinksUpToDate>
  <CharactersWithSpaces>1687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2024-12-01T14:46:00Z</dcterms:created>
  <dc:creator>YL（环保）</dc:creator>
  <cp:lastModifiedBy>蓝色流沙</cp:lastModifiedBy>
  <cp:lastPrinted>2024-12-02T08:44:00Z</cp:lastPrinted>
  <dcterms:modified xsi:type="dcterms:W3CDTF">2024-12-04T04:01:27Z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894D6CE011F3480C8F9B31116EEECC16</vt:lpwstr>
  </property>
</Properties>
</file>